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418B24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A72D80">
        <w:rPr>
          <w:sz w:val="28"/>
          <w:szCs w:val="28"/>
        </w:rPr>
        <w:t xml:space="preserve">construção de </w:t>
      </w:r>
      <w:r w:rsidR="00A72D80">
        <w:rPr>
          <w:sz w:val="28"/>
          <w:szCs w:val="28"/>
        </w:rPr>
        <w:t>canaletão</w:t>
      </w:r>
      <w:r w:rsidR="00A72D80">
        <w:rPr>
          <w:sz w:val="28"/>
          <w:szCs w:val="28"/>
        </w:rPr>
        <w:t xml:space="preserve"> na Rua Treze próximo ao número 236 – Parque </w:t>
      </w:r>
      <w:r w:rsidR="00A72D80">
        <w:rPr>
          <w:sz w:val="28"/>
          <w:szCs w:val="28"/>
        </w:rPr>
        <w:t>Florely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56369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DA3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3F27"/>
    <w:rsid w:val="0069525B"/>
    <w:rsid w:val="00695330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2026-04-09T14:34:00Z</dcterms:created>
  <dcterms:modified xsi:type="dcterms:W3CDTF">2026-04-09T14:34:00Z</dcterms:modified>
</cp:coreProperties>
</file>