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jc w:val="right"/>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PROJETO DE LEI Nº ____________/2026</w:t>
      </w:r>
    </w:p>
    <w:p w:rsidR="00000000" w:rsidRPr="00000000" w:rsidP="00000000" w14:paraId="00000002">
      <w:pPr>
        <w:spacing w:after="0" w:line="240" w:lineRule="auto"/>
        <w:jc w:val="right"/>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                                                                                       Autoriza o Prefeito Municipal de Sumaré                              a criar o Programa Municipal de Incentivo à </w:t>
      </w:r>
    </w:p>
    <w:p w:rsidR="00000000" w:rsidRPr="00000000" w:rsidP="00000000" w14:paraId="00000003">
      <w:pPr>
        <w:spacing w:after="0" w:line="240" w:lineRule="auto"/>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                                                                                  Denúncia de Infrações Ambientais Urbanas.</w:t>
      </w:r>
    </w:p>
    <w:p w:rsidR="00000000" w:rsidRPr="00000000" w:rsidP="00000000" w14:paraId="00000004">
      <w:pPr>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                                                                                                                             </w:t>
      </w:r>
    </w:p>
    <w:p w:rsidR="00000000" w:rsidRPr="00000000" w:rsidP="00000000" w14:paraId="00000005">
      <w:pPr>
        <w:jc w:val="right"/>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 xml:space="preserve"> AUTOR: Vereador Lucas Agostinho</w:t>
      </w:r>
    </w:p>
    <w:p w:rsidR="00000000" w:rsidRPr="00000000" w:rsidP="00000000" w14:paraId="00000006">
      <w:pPr>
        <w:jc w:val="both"/>
        <w:rPr>
          <w:rFonts w:ascii="Times New Roman" w:eastAsia="Times New Roman" w:hAnsi="Times New Roman" w:cs="Times New Roman"/>
          <w:sz w:val="24"/>
          <w:szCs w:val="24"/>
        </w:rPr>
      </w:pPr>
    </w:p>
    <w:p w:rsidR="00000000" w:rsidRPr="00000000" w:rsidP="00000000" w14:paraId="00000007">
      <w:pPr>
        <w:jc w:val="both"/>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Art. 1º</w:t>
      </w:r>
      <w:r w:rsidRPr="00000000">
        <w:rPr>
          <w:rFonts w:ascii="Times New Roman" w:eastAsia="Times New Roman" w:hAnsi="Times New Roman" w:cs="Times New Roman"/>
          <w:sz w:val="24"/>
          <w:szCs w:val="24"/>
          <w:rtl w:val="0"/>
        </w:rPr>
        <w:t xml:space="preserve"> Fica o Prefeito Municipal de Sumaré, autorizado a instituir, no âmbito do Município de Sumaré/SP, o Programa Municipal de Incentivo à Denúncia de Infrações Ambientais Urbanas, com a finalidade de estimular a participação da população na identificação e comunicação de práticas irregulares relacionadas ao manejo inadequado de resíduos sólidos urbanos.</w:t>
      </w:r>
    </w:p>
    <w:p w:rsidR="00000000" w:rsidRPr="00000000" w:rsidP="00000000" w14:paraId="00000008">
      <w:pPr>
        <w:jc w:val="both"/>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Parágrafo único.</w:t>
      </w:r>
      <w:r w:rsidRPr="00000000">
        <w:rPr>
          <w:rFonts w:ascii="Times New Roman" w:eastAsia="Times New Roman" w:hAnsi="Times New Roman" w:cs="Times New Roman"/>
          <w:sz w:val="24"/>
          <w:szCs w:val="24"/>
          <w:rtl w:val="0"/>
        </w:rPr>
        <w:t xml:space="preserve"> O Programa tem fundamento nos princípios da participação popular, proteção ambiental e eficiência da fiscalização, nos termos do art. 225 da Constituição Federal e da Lei Federal nº 12.305/2010 (Política Nacional de Resíduos Sólidos).</w:t>
      </w:r>
    </w:p>
    <w:p w:rsidR="00000000" w:rsidRPr="00000000" w:rsidP="00000000" w14:paraId="00000009">
      <w:pPr>
        <w:jc w:val="both"/>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Art. 2º</w:t>
      </w:r>
      <w:r w:rsidRPr="00000000">
        <w:rPr>
          <w:rFonts w:ascii="Times New Roman" w:eastAsia="Times New Roman" w:hAnsi="Times New Roman" w:cs="Times New Roman"/>
          <w:sz w:val="24"/>
          <w:szCs w:val="24"/>
          <w:rtl w:val="0"/>
        </w:rPr>
        <w:t xml:space="preserve"> Para os fins desta Lei, consideram-se infrações ambientais urbanas, dentre outras previstas na legislação municipal vigente: </w:t>
      </w:r>
    </w:p>
    <w:p w:rsidR="00000000" w:rsidRPr="00000000" w:rsidP="00000000" w14:paraId="0000000A">
      <w:pPr>
        <w:spacing w:line="240" w:lineRule="auto"/>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 – descarte de lixo em vias e logradouros públicos; </w:t>
      </w:r>
    </w:p>
    <w:p w:rsidR="00000000" w:rsidRPr="00000000" w:rsidP="00000000" w14:paraId="0000000B">
      <w:pPr>
        <w:spacing w:line="240" w:lineRule="auto"/>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II – descarte irregular de entulhos ou resíduos da construção civil; </w:t>
      </w:r>
    </w:p>
    <w:p w:rsidR="00000000" w:rsidRPr="00000000" w:rsidP="00000000" w14:paraId="0000000C">
      <w:pPr>
        <w:spacing w:line="240" w:lineRule="auto"/>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III – deposição de resíduos em áreas verdes, terrenos baldios ou áreas de preservação; </w:t>
      </w:r>
    </w:p>
    <w:p w:rsidR="00000000" w:rsidRPr="00000000" w:rsidP="00000000" w14:paraId="0000000D">
      <w:pPr>
        <w:spacing w:line="240" w:lineRule="auto"/>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IV – lançamento de resíduos em bueiros, galerias pluviais ou cursos d’água; </w:t>
      </w:r>
    </w:p>
    <w:p w:rsidR="00000000" w:rsidRPr="00000000" w:rsidP="00000000" w14:paraId="0000000E">
      <w:pPr>
        <w:spacing w:line="240" w:lineRule="auto"/>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V – qualquer conduta que viole as normas municipais relativas à limpeza urbana e manejo de resíduos sólidos.</w:t>
      </w:r>
    </w:p>
    <w:p w:rsidR="00000000" w:rsidRPr="00000000" w:rsidP="00000000" w14:paraId="0000000F">
      <w:pPr>
        <w:jc w:val="both"/>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Art. 3º</w:t>
      </w:r>
      <w:r w:rsidRPr="00000000">
        <w:rPr>
          <w:rFonts w:ascii="Times New Roman" w:eastAsia="Times New Roman" w:hAnsi="Times New Roman" w:cs="Times New Roman"/>
          <w:sz w:val="24"/>
          <w:szCs w:val="24"/>
          <w:rtl w:val="0"/>
        </w:rPr>
        <w:t xml:space="preserve"> O cidadão que apresentar denúncia fundamentada e acompanhada de elementos mínimos de prova, tais como imagens, vídeos, identificação do local, data, horário, ou do possível infrator, fará jus ao recebimento de até 20% (vinte por cento) do valor da multa efetivamente arrecadada pelo Município. </w:t>
      </w:r>
    </w:p>
    <w:p w:rsidR="00000000" w:rsidRPr="00000000" w:rsidP="00000000" w14:paraId="00000010">
      <w:pPr>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 1º O pagamento da recompensa fica condicionado: </w:t>
      </w:r>
    </w:p>
    <w:p w:rsidR="00000000" w:rsidRPr="00000000" w:rsidP="00000000" w14:paraId="00000011">
      <w:pPr>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 – à confirmação da infração pelo órgão competente; </w:t>
      </w:r>
    </w:p>
    <w:p w:rsidR="00000000" w:rsidRPr="00000000" w:rsidP="00000000" w14:paraId="00000012">
      <w:pPr>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II – ao efetivo recolhimento da multa pelo infrator. </w:t>
      </w:r>
    </w:p>
    <w:p w:rsidR="00000000" w:rsidRPr="00000000" w:rsidP="00000000" w14:paraId="00000013">
      <w:pPr>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 2º O pagamento será realizado no prazo de até 30 (trinta) dias após o ingresso do valor nos cofres públicos. </w:t>
      </w:r>
    </w:p>
    <w:p w:rsidR="00000000" w:rsidRPr="00000000" w:rsidP="00000000" w14:paraId="00000014">
      <w:pPr>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3º Não haverá pagamento antecipado ou em caráter provisório.</w:t>
      </w:r>
    </w:p>
    <w:p w:rsidR="00000000" w:rsidRPr="00000000" w:rsidP="00000000" w14:paraId="00000015">
      <w:pPr>
        <w:jc w:val="both"/>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Art. 4º</w:t>
      </w:r>
      <w:r w:rsidRPr="00000000">
        <w:rPr>
          <w:rFonts w:ascii="Times New Roman" w:eastAsia="Times New Roman" w:hAnsi="Times New Roman" w:cs="Times New Roman"/>
          <w:sz w:val="24"/>
          <w:szCs w:val="24"/>
          <w:rtl w:val="0"/>
        </w:rPr>
        <w:t xml:space="preserve"> O denunciante poderá optar pelo sigilo de sua identidade, devendo o Município garantir a proteção de seus dados pessoais, nos termos da Lei Geral de Proteção de Dados (Lei Federal nº 13.709/2018). </w:t>
      </w:r>
    </w:p>
    <w:p w:rsidR="00000000" w:rsidRPr="00000000" w:rsidP="00000000" w14:paraId="00000016">
      <w:pPr>
        <w:jc w:val="both"/>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Art. 5º</w:t>
      </w:r>
      <w:r w:rsidRPr="00000000">
        <w:rPr>
          <w:rFonts w:ascii="Times New Roman" w:eastAsia="Times New Roman" w:hAnsi="Times New Roman" w:cs="Times New Roman"/>
          <w:sz w:val="24"/>
          <w:szCs w:val="24"/>
          <w:rtl w:val="0"/>
        </w:rPr>
        <w:t xml:space="preserve"> As denúncias deverão ser realizadas por meio de canais oficiais disponibilizados pelo Município, incluindo: </w:t>
      </w:r>
    </w:p>
    <w:p w:rsidR="00000000" w:rsidRPr="00000000" w:rsidP="00000000" w14:paraId="00000017">
      <w:pPr>
        <w:spacing w:line="240" w:lineRule="auto"/>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 – plataforma digital; </w:t>
      </w:r>
    </w:p>
    <w:p w:rsidR="00000000" w:rsidRPr="00000000" w:rsidP="00000000" w14:paraId="00000018">
      <w:pPr>
        <w:spacing w:line="240" w:lineRule="auto"/>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II – aplicativo eletrônico; </w:t>
      </w:r>
    </w:p>
    <w:p w:rsidR="00000000" w:rsidRPr="00000000" w:rsidP="00000000" w14:paraId="00000019">
      <w:pPr>
        <w:spacing w:line="240" w:lineRule="auto"/>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III – atendimento telefônico; </w:t>
      </w:r>
    </w:p>
    <w:p w:rsidR="00000000" w:rsidRPr="00000000" w:rsidP="00000000" w14:paraId="0000001A">
      <w:pPr>
        <w:spacing w:line="240" w:lineRule="auto"/>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IV – outros meios definidos pelo Poder Executivo.</w:t>
      </w:r>
    </w:p>
    <w:p w:rsidR="00000000" w:rsidRPr="00000000" w:rsidP="00000000" w14:paraId="0000001B">
      <w:pPr>
        <w:jc w:val="both"/>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Art. 6º</w:t>
      </w:r>
      <w:r w:rsidRPr="00000000">
        <w:rPr>
          <w:rFonts w:ascii="Times New Roman" w:eastAsia="Times New Roman" w:hAnsi="Times New Roman" w:cs="Times New Roman"/>
          <w:sz w:val="24"/>
          <w:szCs w:val="24"/>
          <w:rtl w:val="0"/>
        </w:rPr>
        <w:t xml:space="preserve"> O denunciante que agir de má-fé, mediante denúncia falsa, fraudulenta ou com intuito de prejudicar terceiros, ficará sujeito: </w:t>
      </w:r>
    </w:p>
    <w:p w:rsidR="00000000" w:rsidRPr="00000000" w:rsidP="00000000" w14:paraId="0000001C">
      <w:pPr>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 – à perda do direito à recompensa; </w:t>
      </w:r>
    </w:p>
    <w:p w:rsidR="00000000" w:rsidRPr="00000000" w:rsidP="00000000" w14:paraId="0000001D">
      <w:pPr>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II – à aplicação de multa administrativa de até 50% (cinquenta por cento) do valor da infração indevidamente denunciada; </w:t>
      </w:r>
    </w:p>
    <w:p w:rsidR="00000000" w:rsidRPr="00000000" w:rsidP="00000000" w14:paraId="0000001E">
      <w:pPr>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III – à responsabilização civil e penal cabível.</w:t>
      </w:r>
    </w:p>
    <w:p w:rsidR="00000000" w:rsidRPr="00000000" w:rsidP="00000000" w14:paraId="0000001F">
      <w:pPr>
        <w:jc w:val="both"/>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Art. 7º</w:t>
      </w:r>
      <w:r w:rsidRPr="00000000">
        <w:rPr>
          <w:rFonts w:ascii="Times New Roman" w:eastAsia="Times New Roman" w:hAnsi="Times New Roman" w:cs="Times New Roman"/>
          <w:sz w:val="24"/>
          <w:szCs w:val="24"/>
          <w:rtl w:val="0"/>
        </w:rPr>
        <w:t xml:space="preserve"> Os valores das multas aplicáveis às infrações descritas nesta Lei observarão a legislação municipal vigente, especialmente aquelas relativas à limpeza urbana, posturas municipais e meio ambiente.</w:t>
      </w:r>
    </w:p>
    <w:p w:rsidR="00000000" w:rsidRPr="00000000" w:rsidP="00000000" w14:paraId="00000020">
      <w:pPr>
        <w:jc w:val="both"/>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Art. 8º</w:t>
      </w:r>
      <w:r w:rsidRPr="00000000">
        <w:rPr>
          <w:rFonts w:ascii="Times New Roman" w:eastAsia="Times New Roman" w:hAnsi="Times New Roman" w:cs="Times New Roman"/>
          <w:sz w:val="24"/>
          <w:szCs w:val="24"/>
          <w:rtl w:val="0"/>
        </w:rPr>
        <w:t xml:space="preserve"> O Poder Executivo regulamentará esta Lei no prazo de até 90 (noventa) dias, dispondo sobre: </w:t>
      </w:r>
    </w:p>
    <w:p w:rsidR="00000000" w:rsidRPr="00000000" w:rsidP="00000000" w14:paraId="00000021">
      <w:pPr>
        <w:spacing w:line="240" w:lineRule="auto"/>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 – os critérios de validação das denúncias; </w:t>
      </w:r>
    </w:p>
    <w:p w:rsidR="00000000" w:rsidRPr="00000000" w:rsidP="00000000" w14:paraId="00000022">
      <w:pPr>
        <w:spacing w:line="240" w:lineRule="auto"/>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II – os procedimentos administrativos de apuração; </w:t>
      </w:r>
    </w:p>
    <w:p w:rsidR="00000000" w:rsidRPr="00000000" w:rsidP="00000000" w14:paraId="00000023">
      <w:pPr>
        <w:spacing w:line="240" w:lineRule="auto"/>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III – os mecanismos de proteção ao denunciante; </w:t>
      </w:r>
    </w:p>
    <w:p w:rsidR="00000000" w:rsidRPr="00000000" w:rsidP="00000000" w14:paraId="00000024">
      <w:pPr>
        <w:spacing w:line="240" w:lineRule="auto"/>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IV – as formas de pagamento da recompensa; </w:t>
      </w:r>
    </w:p>
    <w:p w:rsidR="00000000" w:rsidRPr="00000000" w:rsidP="00000000" w14:paraId="00000025">
      <w:pPr>
        <w:spacing w:line="240" w:lineRule="auto"/>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V – a integração com sistemas já existentes de fiscalização urbana.</w:t>
      </w:r>
    </w:p>
    <w:p w:rsidR="00000000" w:rsidRPr="00000000" w:rsidP="00000000" w14:paraId="00000026">
      <w:pPr>
        <w:jc w:val="both"/>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Art. 9º</w:t>
      </w:r>
      <w:r w:rsidRPr="00000000">
        <w:rPr>
          <w:rFonts w:ascii="Times New Roman" w:eastAsia="Times New Roman" w:hAnsi="Times New Roman" w:cs="Times New Roman"/>
          <w:sz w:val="24"/>
          <w:szCs w:val="24"/>
          <w:rtl w:val="0"/>
        </w:rPr>
        <w:t xml:space="preserve"> As despesas decorrentes desta Lei correrão por conta das dotações orçamentárias próprias, podendo ser suplementadas, se necessário.</w:t>
      </w:r>
    </w:p>
    <w:p w:rsidR="00000000" w:rsidRPr="00000000" w:rsidP="00000000" w14:paraId="00000027">
      <w:pPr>
        <w:jc w:val="both"/>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Art. 10º</w:t>
      </w:r>
      <w:r w:rsidRPr="00000000">
        <w:rPr>
          <w:rFonts w:ascii="Times New Roman" w:eastAsia="Times New Roman" w:hAnsi="Times New Roman" w:cs="Times New Roman"/>
          <w:sz w:val="24"/>
          <w:szCs w:val="24"/>
          <w:rtl w:val="0"/>
        </w:rPr>
        <w:t xml:space="preserve"> Esta Lei entra em vigor na data de sua publicação.</w:t>
      </w:r>
    </w:p>
    <w:p w:rsidR="00000000" w:rsidRPr="00000000" w:rsidP="00000000" w14:paraId="00000028">
      <w:pPr>
        <w:jc w:val="center"/>
        <w:rPr>
          <w:rFonts w:ascii="Times New Roman" w:eastAsia="Times New Roman" w:hAnsi="Times New Roman" w:cs="Times New Roman"/>
          <w:sz w:val="24"/>
          <w:szCs w:val="24"/>
        </w:rPr>
      </w:pPr>
    </w:p>
    <w:p w:rsidR="00000000" w:rsidRPr="00000000" w:rsidP="00000000" w14:paraId="00000029">
      <w:pPr>
        <w:jc w:val="center"/>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Sala das Sessões, 07 de abril de 2025.</w:t>
      </w:r>
    </w:p>
    <w:p w:rsidR="00000000" w:rsidRPr="00000000" w:rsidP="00000000" w14:paraId="0000002A">
      <w:pPr>
        <w:jc w:val="center"/>
        <w:rPr>
          <w:rFonts w:ascii="Times New Roman" w:eastAsia="Times New Roman" w:hAnsi="Times New Roman" w:cs="Times New Roman"/>
          <w:sz w:val="24"/>
          <w:szCs w:val="24"/>
        </w:rPr>
      </w:pPr>
    </w:p>
    <w:p w:rsidR="00000000" w:rsidRPr="00000000" w:rsidP="00000000" w14:paraId="0000002B">
      <w:pPr>
        <w:jc w:val="center"/>
        <w:rPr>
          <w:rFonts w:ascii="Times New Roman" w:eastAsia="Times New Roman" w:hAnsi="Times New Roman" w:cs="Times New Roman"/>
          <w:sz w:val="24"/>
          <w:szCs w:val="24"/>
        </w:rPr>
      </w:pPr>
    </w:p>
    <w:p w:rsidR="00000000" w:rsidRPr="00000000" w:rsidP="00000000" w14:paraId="0000002C">
      <w:pPr>
        <w:jc w:val="center"/>
        <w:rPr>
          <w:rFonts w:ascii="Times New Roman" w:eastAsia="Times New Roman" w:hAnsi="Times New Roman" w:cs="Times New Roman"/>
          <w:sz w:val="24"/>
          <w:szCs w:val="24"/>
        </w:rPr>
      </w:pPr>
    </w:p>
    <w:p w:rsidR="00000000" w:rsidRPr="00000000" w:rsidP="00000000" w14:paraId="0000002D">
      <w:pPr>
        <w:spacing w:after="0" w:line="240" w:lineRule="auto"/>
        <w:jc w:val="center"/>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LUCAS AGOSTINHO</w:t>
      </w:r>
    </w:p>
    <w:p w:rsidR="00000000" w:rsidRPr="00000000" w:rsidP="00000000" w14:paraId="0000002E">
      <w:pPr>
        <w:spacing w:after="0" w:line="240" w:lineRule="auto"/>
        <w:jc w:val="center"/>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Vereador – UNIÃO BRASIL</w:t>
      </w:r>
    </w:p>
    <w:p w:rsidR="00000000" w:rsidRPr="00000000" w:rsidP="00000000" w14:paraId="0000002F">
      <w:pPr>
        <w:jc w:val="center"/>
        <w:rPr>
          <w:rFonts w:ascii="Times New Roman" w:eastAsia="Times New Roman" w:hAnsi="Times New Roman" w:cs="Times New Roman"/>
          <w:b/>
          <w:bCs/>
          <w:sz w:val="24"/>
          <w:szCs w:val="24"/>
        </w:rPr>
      </w:pPr>
      <w:bookmarkStart w:id="0" w:name="_heading=h.t0hmh3zhyv02" w:colFirst="0" w:colLast="0"/>
      <w:bookmarkEnd w:id="0"/>
    </w:p>
    <w:p w:rsidR="00000000" w:rsidRPr="00000000" w:rsidP="00000000" w14:paraId="00000030">
      <w:pPr>
        <w:jc w:val="center"/>
        <w:rPr>
          <w:rFonts w:ascii="Times New Roman" w:eastAsia="Times New Roman" w:hAnsi="Times New Roman" w:cs="Times New Roman"/>
          <w:b/>
          <w:bCs/>
          <w:sz w:val="24"/>
          <w:szCs w:val="24"/>
        </w:rPr>
      </w:pPr>
      <w:bookmarkStart w:id="1" w:name="_heading=h.ps9at0qnszld" w:colFirst="0" w:colLast="0"/>
      <w:bookmarkEnd w:id="1"/>
      <w:r w:rsidRPr="00000000">
        <w:rPr>
          <w:rFonts w:ascii="Times New Roman" w:eastAsia="Times New Roman" w:hAnsi="Times New Roman" w:cs="Times New Roman"/>
          <w:b/>
          <w:bCs/>
          <w:sz w:val="24"/>
          <w:szCs w:val="24"/>
          <w:rtl w:val="0"/>
        </w:rPr>
        <w:t>JUSTIFICATIVA</w:t>
      </w:r>
    </w:p>
    <w:p w:rsidR="00000000" w:rsidRPr="00000000" w:rsidP="00000000" w14:paraId="00000031">
      <w:pPr>
        <w:jc w:val="center"/>
        <w:rPr>
          <w:rFonts w:ascii="Times New Roman" w:eastAsia="Times New Roman" w:hAnsi="Times New Roman" w:cs="Times New Roman"/>
          <w:b/>
          <w:bCs/>
          <w:sz w:val="24"/>
          <w:szCs w:val="24"/>
        </w:rPr>
      </w:pPr>
      <w:bookmarkStart w:id="2" w:name="_heading=h.efo8obawbnn5" w:colFirst="0" w:colLast="0"/>
      <w:bookmarkEnd w:id="2"/>
    </w:p>
    <w:p w:rsidR="00000000" w:rsidRPr="00000000" w:rsidP="00000000" w14:paraId="00000032">
      <w:pPr>
        <w:spacing w:after="0" w:line="360" w:lineRule="auto"/>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O presente Projeto de Lei autoriza o Prefeito Municipal de Sumaré a instituir, no Município de Sumaré/SP, o Programa Municipal de Incentivo à Denúncia de Infrações Ambientais Urbanas, como forma de fortalecer a fiscalização e incentivar a participação da população na preservação do meio ambiente. </w:t>
      </w:r>
    </w:p>
    <w:p w:rsidR="00000000" w:rsidRPr="00000000" w:rsidP="00000000" w14:paraId="00000033">
      <w:pPr>
        <w:spacing w:after="0" w:line="360" w:lineRule="auto"/>
        <w:ind w:firstLine="1418"/>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O descarte irregular de resíduos sólidos em vias públicas, terrenos baldios e áreas verdes representa um problema recorrente, gerando impactos à saúde pública, ao meio ambiente e aumentando os custos operacionais do Município. </w:t>
      </w:r>
    </w:p>
    <w:p w:rsidR="00000000" w:rsidRPr="00000000" w:rsidP="00000000" w14:paraId="00000034">
      <w:pPr>
        <w:spacing w:after="0" w:line="360" w:lineRule="auto"/>
        <w:ind w:firstLine="1418"/>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A atuação exclusiva do Poder Público mostra-se insuficiente diante da extensão territorial e da frequência dessas práticas. Nesse contexto, a proposta busca transformar o cidadão em aliado da fiscalização, incentivando a denúncia qualificada mediante apresentação de provas, com previsão de recompensa condicionada ao efetivo recolhimento da multa, sem gerar despesa antecipada ao erário, além de estabelecer mecanismos de controle para evitar abusos e denúncias de má-fé. </w:t>
      </w:r>
    </w:p>
    <w:p w:rsidR="00000000" w:rsidRPr="00000000" w:rsidP="00000000" w14:paraId="00000035">
      <w:pPr>
        <w:spacing w:after="0" w:line="360" w:lineRule="auto"/>
        <w:ind w:firstLine="1418"/>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A iniciativa encontra respaldo nos arts. 30, I e II, e 225 da Constituição Federal, bem como na Lei nº 12.305/2010, sendo medida eficiente para ampliar o controle social, fortalecer a gestão ambiental e contribuir para uma cidade mais limpa, organizada e sustentável.</w:t>
      </w:r>
    </w:p>
    <w:p w:rsidR="00000000" w:rsidRPr="00000000" w:rsidP="00000000" w14:paraId="00000036">
      <w:pPr>
        <w:spacing w:after="0" w:line="360" w:lineRule="auto"/>
        <w:jc w:val="center"/>
        <w:rPr>
          <w:rFonts w:ascii="Times New Roman" w:eastAsia="Times New Roman" w:hAnsi="Times New Roman" w:cs="Times New Roman"/>
          <w:sz w:val="24"/>
          <w:szCs w:val="24"/>
        </w:rPr>
      </w:pPr>
    </w:p>
    <w:p w:rsidR="00000000" w:rsidRPr="00000000" w:rsidP="00000000" w14:paraId="00000037">
      <w:pPr>
        <w:spacing w:after="0" w:line="360" w:lineRule="auto"/>
        <w:jc w:val="center"/>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Sala das Sessões, 07 de abril de 2026</w:t>
      </w:r>
    </w:p>
    <w:p w:rsidR="00000000" w:rsidRPr="00000000" w:rsidP="00000000" w14:paraId="00000038">
      <w:pPr>
        <w:spacing w:after="0" w:line="360" w:lineRule="auto"/>
        <w:jc w:val="both"/>
        <w:rPr>
          <w:rFonts w:ascii="Times New Roman" w:eastAsia="Times New Roman" w:hAnsi="Times New Roman" w:cs="Times New Roman"/>
          <w:sz w:val="24"/>
          <w:szCs w:val="24"/>
        </w:rPr>
      </w:pPr>
    </w:p>
    <w:p w:rsidR="00000000" w:rsidRPr="00000000" w:rsidP="00000000" w14:paraId="00000039">
      <w:pPr>
        <w:spacing w:after="0" w:line="360" w:lineRule="auto"/>
        <w:jc w:val="both"/>
        <w:rPr>
          <w:rFonts w:ascii="Times New Roman" w:eastAsia="Times New Roman" w:hAnsi="Times New Roman" w:cs="Times New Roman"/>
          <w:sz w:val="24"/>
          <w:szCs w:val="24"/>
        </w:rPr>
      </w:pPr>
    </w:p>
    <w:p w:rsidR="00000000" w:rsidRPr="00000000" w:rsidP="00000000" w14:paraId="0000003A">
      <w:pPr>
        <w:spacing w:after="0" w:line="360" w:lineRule="auto"/>
        <w:jc w:val="both"/>
        <w:rPr>
          <w:rFonts w:ascii="Times New Roman" w:eastAsia="Times New Roman" w:hAnsi="Times New Roman" w:cs="Times New Roman"/>
          <w:sz w:val="24"/>
          <w:szCs w:val="24"/>
        </w:rPr>
      </w:pPr>
    </w:p>
    <w:p w:rsidR="00000000" w:rsidRPr="00000000" w:rsidP="00000000" w14:paraId="0000003B">
      <w:pPr>
        <w:spacing w:after="0" w:line="360" w:lineRule="auto"/>
        <w:jc w:val="center"/>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LUCAS AGOSTINHO</w:t>
      </w:r>
    </w:p>
    <w:p w:rsidR="00000000" w:rsidRPr="00000000" w:rsidP="00000000" w14:paraId="0000003C">
      <w:pPr>
        <w:spacing w:after="0" w:line="360" w:lineRule="auto"/>
        <w:jc w:val="center"/>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Vereador – UNIÃO BRASIL</w:t>
      </w:r>
    </w:p>
    <w:sectPr>
      <w:headerReference w:type="default" r:id="rId5"/>
      <w:footerReference w:type="even" r:id="rId6"/>
      <w:footerReference w:type="default" r:id="rId7"/>
      <w:footerReference w:type="first" r:id="rId8"/>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sig w:usb0="00000000" w:usb1="00000000" w:usb2="00000000" w:usb3="00000000" w:csb0="00000001" w:csb1="00000000"/>
    <w:embedRegular r:id="rId1" w:fontKey="{5C786CFA-A2DC-4D70-BEE3-21C138380418}"/>
  </w:font>
  <w:font w:name="Times New Roman">
    <w:charset w:val="00"/>
    <w:family w:val="auto"/>
    <w:pitch w:val="default"/>
  </w:font>
  <w:font w:name="Georgia">
    <w:charset w:val="00"/>
    <w:family w:val="auto"/>
    <w:pitch w:val="default"/>
    <w:embedRegular r:id="rId2" w:fontKey="{CD1EB5AB-53E2-4640-99D3-885E063F7EA5}"/>
  </w:font>
  <w:font w:name="Cambria">
    <w:charset w:val="00"/>
    <w:family w:val="auto"/>
    <w:pitch w:val="default"/>
    <w:embedRegular r:id="rId3" w:fontKey="{4EACE3FC-3BD5-45A9-8A0C-845268A1E0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E">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F">
    <w:bookmarkStart w:id="3" w:name="_heading=h.aqt0stckstak" w:colFirst="0" w:colLast="0"/>
    <w:bookmarkEnd w:id="3"/>
    <w:r w:rsidRPr="00000000">
      <mc:AlternateContent>
        <mc:Choice Requires="wps">
          <w:drawing>
            <wp:anchor distT="0" distB="0" distL="114300" distR="114300" simplePos="0" relativeHeight="251661312" behindDoc="0" locked="0" layoutInCell="1" allowOverlap="1">
              <wp:simplePos x="0" y="0"/>
              <wp:positionH relativeFrom="column">
                <wp:posOffset>-334048</wp:posOffset>
              </wp:positionH>
              <wp:positionV relativeFrom="paragraph">
                <wp:posOffset>118262</wp:posOffset>
              </wp:positionV>
              <wp:extent cx="6237027" cy="12700"/>
              <wp:effectExtent l="0" t="0" r="0" b="0"/>
              <wp:wrapNone/>
              <wp:docPr id="1"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-334048</wp:posOffset>
              </wp:positionH>
              <wp:positionV relativeFrom="paragraph">
                <wp:posOffset>118262</wp:posOffset>
              </wp:positionV>
              <wp:extent cx="6237027" cy="12700"/>
              <wp:effectExtent l="0" t="0" r="0" b="0"/>
              <wp:wrapNone/>
              <wp:docPr id="1641726407" name="image2.png"/>
              <wp:cNvGraphicFramePr/>
              <a:graphic xmlns:a="http://schemas.openxmlformats.org/drawingml/2006/main">
                <a:graphicData uri="http://schemas.openxmlformats.org/drawingml/2006/picture">
                  <pic:pic xmlns:pic="http://schemas.openxmlformats.org/drawingml/2006/picture">
                    <pic:nvPicPr>
                      <pic:cNvPr id="231316278" name="image2.png"/>
                      <pic:cNvPicPr/>
                    </pic:nvPicPr>
                    <pic:blipFill>
                      <a:blip xmlns:r="http://schemas.openxmlformats.org/officeDocument/2006/relationships" r:embed="rId1"/>
                      <a:stretch>
                        <a:fillRect/>
                      </a:stretch>
                    </pic:blipFill>
                    <pic:spPr>
                      <a:xfrm>
                        <a:off x="0" y="0"/>
                        <a:ext cx="6237027" cy="12700"/>
                      </a:xfrm>
                      <a:prstGeom prst="rect">
                        <a:avLst/>
                      </a:prstGeom>
                    </pic:spPr>
                  </pic:pic>
                </a:graphicData>
              </a:graphic>
            </wp:anchor>
          </w:drawing>
        </mc:Fallback>
      </mc:AlternateContent>
    </w:r>
  </w:p>
  <w:p w:rsidR="00000000" w:rsidRPr="00000000" w:rsidP="00000000" w14:paraId="00000040">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1">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D">
    <w:r w:rsidRPr="00000000">
      <w:drawing>
        <wp:inline distT="0" distB="0" distL="0" distR="0">
          <wp:extent cx="1526058" cy="534121"/>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965418290"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-875664</wp:posOffset>
              </wp:positionH>
              <wp:positionV relativeFrom="paragraph">
                <wp:posOffset>2564</wp:posOffset>
              </wp:positionV>
              <wp:extent cx="7557712" cy="10270358"/>
              <wp:effectExtent l="0" t="0" r="0" b="0"/>
              <wp:wrapNone/>
              <wp:docPr id="2"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0" y="0"/>
                          <a:chExt cx="7557712" cy="10270358"/>
                        </a:xfrm>
                      </wpg:grpSpPr>
                      <wps:wsp xmlns:wps="http://schemas.microsoft.com/office/word/2010/wordprocessingShape">
                        <wps:cNvPr id="4" name="Shape 4"/>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5" name="Shape 5"/>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6" name="Shape 6"/>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7" name="Shape 7"/>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wgp>
                </a:graphicData>
              </a:graphic>
            </wp:anchor>
          </w:drawing>
        </mc:Choice>
        <mc:Fallback>
          <w:drawing>
            <wp:anchor distT="0" distB="0" distL="0" distR="0" simplePos="0" relativeHeight="251660288" behindDoc="1" locked="0" layoutInCell="1" allowOverlap="1">
              <wp:simplePos x="0" y="0"/>
              <wp:positionH relativeFrom="column">
                <wp:posOffset>-875664</wp:posOffset>
              </wp:positionH>
              <wp:positionV relativeFrom="paragraph">
                <wp:posOffset>2564</wp:posOffset>
              </wp:positionV>
              <wp:extent cx="7557712" cy="10270358"/>
              <wp:effectExtent l="0" t="0" r="0" b="0"/>
              <wp:wrapNone/>
              <wp:docPr id="2039868851" name="image3.png"/>
              <wp:cNvGraphicFramePr/>
              <a:graphic xmlns:a="http://schemas.openxmlformats.org/drawingml/2006/main">
                <a:graphicData uri="http://schemas.openxmlformats.org/drawingml/2006/picture">
                  <pic:pic xmlns:pic="http://schemas.openxmlformats.org/drawingml/2006/picture">
                    <pic:nvPicPr>
                      <pic:cNvPr id="995439303" name="image3.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6524625"/>
          <wp:wrapNone/>
          <wp:docPr id="10001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3"/>
                  <a:stretch>
                    <a:fillRect/>
                  </a:stretch>
                </pic:blipFill>
                <pic:spPr>
                  <a:xfrm>
                    <a:off x="0" y="0"/>
                    <a:ext cx="381000" cy="65246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ageBreakBefore w:val="0"/>
      <w:spacing w:before="480" w:after="120"/>
      <w:outlineLvl w:val="0"/>
    </w:pPr>
    <w:rPr>
      <w:b/>
      <w:bCs/>
      <w:sz w:val="48"/>
      <w:szCs w:val="48"/>
    </w:rPr>
  </w:style>
  <w:style w:type="paragraph" w:styleId="Heading2">
    <w:name w:val="heading 2"/>
    <w:basedOn w:val="Normal"/>
    <w:next w:val="Normal"/>
    <w:pPr>
      <w:keepNext/>
      <w:keepLines/>
      <w:pageBreakBefore w:val="0"/>
      <w:spacing w:before="360" w:after="80"/>
      <w:outlineLvl w:val="1"/>
    </w:pPr>
    <w:rPr>
      <w:b/>
      <w:bCs/>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pageBreakBefore w:val="0"/>
      <w:spacing w:before="240" w:after="40"/>
      <w:outlineLvl w:val="3"/>
    </w:pPr>
    <w:rPr>
      <w:b/>
      <w:bCs/>
      <w:sz w:val="24"/>
      <w:szCs w:val="24"/>
    </w:rPr>
  </w:style>
  <w:style w:type="paragraph" w:styleId="Heading5">
    <w:name w:val="heading 5"/>
    <w:basedOn w:val="Normal"/>
    <w:next w:val="Normal"/>
    <w:pPr>
      <w:keepNext/>
      <w:keepLines/>
      <w:pageBreakBefore w:val="0"/>
      <w:spacing w:before="220" w:after="40"/>
      <w:outlineLvl w:val="4"/>
    </w:pPr>
    <w:rPr>
      <w:b/>
      <w:bCs/>
      <w:sz w:val="22"/>
      <w:szCs w:val="22"/>
    </w:rPr>
  </w:style>
  <w:style w:type="paragraph" w:styleId="Heading6">
    <w:name w:val="heading 6"/>
    <w:basedOn w:val="Normal"/>
    <w:next w:val="Normal"/>
    <w:pPr>
      <w:keepNext/>
      <w:keepLines/>
      <w:pageBreakBefore w:val="0"/>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paragraph" w:styleId="Title">
    <w:name w:val="Title"/>
    <w:basedOn w:val="Normal"/>
    <w:next w:val="Normal"/>
    <w:pPr>
      <w:keepNext/>
      <w:keepLines/>
      <w:pageBreakBefore w:val="0"/>
      <w:spacing w:before="480" w:after="120"/>
    </w:pPr>
    <w:rPr>
      <w:b/>
      <w:bCs/>
      <w:sz w:val="72"/>
      <w:szCs w:val="72"/>
    </w:rPr>
  </w:style>
  <w:style w:type="paragraph" w:styleId="Subtitle">
    <w:name w:val="Subtitle"/>
    <w:basedOn w:val="Normal"/>
    <w:next w:val="Normal"/>
    <w:pPr>
      <w:keepNext/>
      <w:keepLines/>
      <w:pageBreakBefore w:val="0"/>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_rels/footer2.xml.rels>&#65279;<?xml version="1.0" encoding="utf-8" standalone="yes"?><Relationships xmlns="http://schemas.openxmlformats.org/package/2006/relationships"><Relationship Id="rId1" Type="http://schemas.openxmlformats.org/officeDocument/2006/relationships/image" Target="media/image2.png"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fcXhuIcxtfNf00ukuDYGwhTzg==">CgMxLjAyDmgudDBobWgzemh5djAyMg5oLnBzOWF0MHFuc3psZDIOaC5lZm84b2Jhd2JubjUyDmguYXF0MHN0Y2tzdGFrOAByITFKS29fUDE3bW4xa0k2dU9PVmtEeUdOQ0V1OFI2QlpRLQ==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