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84/2026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a abrir crédito adicional especial no orçamento do Município, com base em anulação parcial de dotação orçamentaria, no valor R$ 114.000,00 (cento e quatorze mil reais),  na forma em especifica abaixo.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