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e especial no orçamento vigente no valor de R$ 127.140,37 (cento e vinte sete mi, cento e quarenta reais e trinta e sete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