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86/2026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autorização ao executivo municipal para promover a abertura de crédito adicional suplementar e especial no orçamento vigente no valor de R$ 127.140,37 (cento e vinte sete mi, cento e quarenta reais e trinta e sete centavos),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março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