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89/2026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autorização ao executivo municipal para promover a abertura de crédito adicional suplementar no orçamento vigente no valor de R$ 759.331,35 (setecentos e cinquenta e nove mil, trezentos e trinta e um reais e trinta e cinco centavos),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março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