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32D4CDE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23986">
        <w:rPr>
          <w:rFonts w:ascii="Tahoma" w:hAnsi="Tahoma" w:cs="Tahoma"/>
          <w:b/>
          <w:bCs/>
          <w:sz w:val="24"/>
          <w:szCs w:val="24"/>
        </w:rPr>
        <w:t xml:space="preserve">Operação tapa-buraco na Rua Alair Moreira, nº </w:t>
      </w:r>
      <w:r w:rsidR="00290C74">
        <w:rPr>
          <w:rFonts w:ascii="Tahoma" w:hAnsi="Tahoma" w:cs="Tahoma"/>
          <w:b/>
          <w:bCs/>
          <w:sz w:val="24"/>
          <w:szCs w:val="24"/>
        </w:rPr>
        <w:t>114</w:t>
      </w:r>
      <w:r w:rsidRPr="00B23986">
        <w:rPr>
          <w:rFonts w:ascii="Tahoma" w:hAnsi="Tahoma" w:cs="Tahoma"/>
          <w:b/>
          <w:bCs/>
          <w:sz w:val="24"/>
          <w:szCs w:val="24"/>
        </w:rPr>
        <w:t>, localizada no bairro Parque Bandeirantes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595A92E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78AFE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3986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90ABA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2026-03-30T15:47:00Z</dcterms:created>
  <dcterms:modified xsi:type="dcterms:W3CDTF">2026-03-30T15:47:00Z</dcterms:modified>
</cp:coreProperties>
</file>