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7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art. 1º da Lei Municipal nº  7592 de 11 de março de 2026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