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75/2026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o art. 1º da Lei Municipal nº  7592 de 11 de março de 2026.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março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