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1º da Lei Municipal nº  7592 de 11 de março de 2026.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