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art. 1º da Lei Municipal nº  7592 de 11 de março de 2026.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