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75/2026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o art. 1º da Lei Municipal nº  7592 de 11 de março de 2026.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