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74/2026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autorização ao executivo municipal para promover a abertura de crédito adicional suplementar no orçamento vigente no valor de R$ 772.536,50 (setecentos e setenta e dois mil, quinhentos e trinta e seis reais e cinquenta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