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>Indica Roçagem, Limpeza e Retirada de Entulhos na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Maria Dias da Cruz Mota, 177 - Nova Esperança 2.</w:t>
      </w: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x5553olvyufh" w:colFirst="0" w:colLast="0"/>
      <w:bookmarkEnd w:id="2"/>
    </w:p>
    <w:p w:rsidR="00000000" w:rsidRPr="00000000" w:rsidP="00000000" w14:paraId="00000004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Nos termos dos artigos 203 a 205 do Regimento Interno desta Casa de Leis, solicito a Vossa Excelência o envio desta propositura ao Excelentíssimo Senhor Prefeito Municipal indicando Roçagem, Limpeza e Retirada de Entulhos na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Maria Dias da Cruz Mota, 177 - Nova Esperança 2.</w:t>
      </w:r>
    </w:p>
    <w:p w:rsidR="00000000" w:rsidRPr="00000000" w:rsidP="00000000" w14:paraId="00000007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Conforme fotos anexas, o mato alto vem causando transtornos aos moradores, aumentando o risco de animais sinantrópicos e criando um ambiente propício ao descarte irregular de entulho. 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17 de março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46989655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870658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19C3B96-D2A6-4EE6-A301-F1E3E15F1E3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DA580767-5284-442A-9BD5-5DC29B452B83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40435875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57595130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846742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881185725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9972247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1846453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