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destinação de espaços públicos em frente ao Cemitério Municipal para uso exclusivo de entidades assistenciais,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