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64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especial e suplementar no orçamento vigente no valor de R$ 776.755,71 (setecentos e setenta e seis mil, setecentos e cinquenta e cinco reais e setenta e um centavo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