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 via pública que menciona a outra, sendo uma que se trata de seu respectivo prolongamento, a outra contígua à mesma, revogando o item II, do Art. 1º, da Lei Municipal nº 7332 de 18 de setembro de 2024.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