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outra, sendo uma que se trata de seu respectivo prolongamento, a outra contígua à mesma, revogando o item II, do Art. 1º, da Lei Municipal nº 7332 de 18 de setembro de 2024.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