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parcelar débitos inscritos em dívida ativa, referentes a contratos de alienação de bens imóveis municipais objeto de regularização fundiária,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