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Municipal a parcelar débitos inscritos em dívida ativa, referentes a contratos de alienação de bens imóveis municipais objeto de regularização fundiária,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