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after="200" w:line="240" w:lineRule="auto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u w:val="single"/>
          <w:rtl w:val="0"/>
        </w:rPr>
        <w:t>indicação</w:t>
      </w:r>
      <w:r w:rsidRPr="00000000">
        <w:rPr>
          <w:rFonts w:ascii="Arial" w:eastAsia="Arial" w:hAnsi="Arial" w:cs="Arial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after="200" w:line="240" w:lineRule="auto"/>
        <w:jc w:val="both"/>
        <w:rPr>
          <w:rFonts w:ascii="Arial" w:eastAsia="Arial" w:hAnsi="Arial" w:cs="Arial"/>
          <w:b/>
          <w:bCs/>
        </w:rPr>
      </w:pPr>
      <w:r w:rsidRPr="00000000">
        <w:rPr>
          <w:rFonts w:ascii="Arial" w:eastAsia="Arial" w:hAnsi="Arial" w:cs="Arial"/>
          <w:b/>
          <w:bCs/>
          <w:rtl w:val="0"/>
        </w:rPr>
        <w:t xml:space="preserve">'INSTALAÇÃO' DE UMA CASA DO EMPREENDEDOR INTEGRADA AO BANCO DO POVO NA REGIÃO DO JARDIM DALL’ORTO - MARIA ANTÔNIA </w:t>
      </w:r>
    </w:p>
    <w:p w:rsidR="00000000" w:rsidRPr="00000000" w:rsidP="00000000" w14:paraId="00000004">
      <w:pPr>
        <w:spacing w:after="200" w:line="240" w:lineRule="auto"/>
        <w:jc w:val="both"/>
        <w:rPr>
          <w:rFonts w:ascii="Arial" w:eastAsia="Arial" w:hAnsi="Arial" w:cs="Arial"/>
          <w:b/>
          <w:bCs/>
        </w:rPr>
      </w:pPr>
    </w:p>
    <w:p w:rsidR="00000000" w:rsidRPr="00000000" w:rsidP="00000000" w14:paraId="00000005">
      <w:pPr>
        <w:spacing w:after="200" w:line="240" w:lineRule="auto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b/>
          <w:bCs/>
          <w:rtl w:val="0"/>
        </w:rPr>
        <w:t xml:space="preserve">LOCAL: </w:t>
      </w:r>
      <w:r w:rsidRPr="00000000">
        <w:rPr>
          <w:rFonts w:ascii="Arial" w:eastAsia="Arial" w:hAnsi="Arial" w:cs="Arial"/>
          <w:rtl w:val="0"/>
        </w:rPr>
        <w:t>Região Do Jardim Dall’orto - Maria Antônia, Sumaré/SP</w:t>
      </w:r>
    </w:p>
    <w:p w:rsidR="00000000" w:rsidRPr="00000000" w:rsidP="00000000" w14:paraId="00000006">
      <w:pPr>
        <w:spacing w:after="200" w:line="240" w:lineRule="auto"/>
        <w:jc w:val="center"/>
        <w:rPr>
          <w:rFonts w:ascii="Arial" w:eastAsia="Arial" w:hAnsi="Arial" w:cs="Arial"/>
          <w:b/>
          <w:bCs/>
        </w:rPr>
      </w:pPr>
      <w:r w:rsidRPr="00000000">
        <w:rPr>
          <w:rFonts w:ascii="Arial" w:eastAsia="Arial" w:hAnsi="Arial" w:cs="Arial"/>
          <w:b/>
          <w:bCs/>
          <w:rtl w:val="0"/>
        </w:rPr>
        <w:t>JUSTIFICATIVA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 xml:space="preserve">Moradores e empreendedores da </w:t>
      </w:r>
      <w:r w:rsidRPr="00000000">
        <w:rPr>
          <w:rFonts w:ascii="Arial" w:eastAsia="Arial" w:hAnsi="Arial" w:cs="Arial"/>
          <w:b/>
          <w:bCs/>
          <w:rtl w:val="0"/>
        </w:rPr>
        <w:t>região do Jardim Dall’Orto - Maria Antônia</w:t>
      </w:r>
      <w:r w:rsidRPr="00000000">
        <w:rPr>
          <w:rFonts w:ascii="Arial" w:eastAsia="Arial" w:hAnsi="Arial" w:cs="Arial"/>
          <w:rtl w:val="0"/>
        </w:rPr>
        <w:t xml:space="preserve">, em Sumaré/SP, têm manifestado a urgente necessidade de um apoio estruturado para o desenvolvimento de seus pequenos negócios, microempresas e atividades econômicas informais por meio de </w:t>
      </w:r>
      <w:r w:rsidRPr="00000000">
        <w:rPr>
          <w:rFonts w:ascii="Arial" w:eastAsia="Arial" w:hAnsi="Arial" w:cs="Arial"/>
          <w:b/>
          <w:bCs/>
          <w:rtl w:val="0"/>
        </w:rPr>
        <w:t>instalação de uma "Casa do Empreendedor" em conjunto com uma unidade do programa "Banco do Povo" na região citada</w:t>
      </w:r>
      <w:r w:rsidRPr="00000000">
        <w:rPr>
          <w:rFonts w:ascii="Arial" w:eastAsia="Arial" w:hAnsi="Arial" w:cs="Arial"/>
          <w:rtl w:val="0"/>
        </w:rPr>
        <w:t>.</w:t>
      </w:r>
    </w:p>
    <w:p w:rsidR="00000000" w:rsidRPr="00000000" w:rsidP="00000000" w14:paraId="00000008">
      <w:pPr>
        <w:spacing w:after="0" w:line="240" w:lineRule="auto"/>
        <w:ind w:firstLine="720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Atualmente, para acessar serviços essenciais de formalização (abertura de CNPJ, emissão de alvarás, orientação fiscal para MEI) ou para pleitear microcrédito produtivo, é necessário deslocar-se até o centro da cidade. Esta centralização gera custos adicionais, perda de tempo útil de trabalho e constitui uma barreira significativa, especialmente para aqueles que estão iniciando ou mantendo negócios com recursos limitados.</w:t>
      </w:r>
    </w:p>
    <w:p w:rsidR="00000000" w:rsidRPr="00000000" w:rsidP="00000000" w14:paraId="00000009">
      <w:pPr>
        <w:spacing w:after="0" w:line="240" w:lineRule="auto"/>
        <w:ind w:firstLine="720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A falta de um apoio local integrado compromete o potencial econômico da região, dificulta a geração formal de emprego e renda e impede que muitos talentos empreendedores prosperem. A situação contribui para a perpetuação da informalidade, reduz a arrecadação municipal e limita o desenvolvimento comunitário.</w:t>
      </w:r>
    </w:p>
    <w:p w:rsidR="00000000" w:rsidRPr="00000000" w:rsidP="00000000" w14:paraId="0000000A">
      <w:pPr>
        <w:spacing w:after="0" w:line="240" w:lineRule="auto"/>
        <w:ind w:firstLine="720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Diante do exposto, é fundamental que a Administração Pública Municipal atue de forma visionária e estratégica, estudando e implementando a instalação de uma "Casa do Empreendedor" em conjunto com uma unidade do programa "Banco do Povo" na região citada. Tal medida assegura, de forma descentralizada e acessível: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A orientação e o suporte técnico para a formalização de negócios;</w:t>
      </w:r>
    </w:p>
    <w:p w:rsidR="00000000" w:rsidRPr="00000000" w:rsidP="00000000" w14:paraId="0000000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O acesso a informações fiscais, tributárias e de gestão empresarial;</w:t>
      </w:r>
    </w:p>
    <w:p w:rsidR="00000000" w:rsidRPr="00000000" w:rsidP="00000000" w14:paraId="0000000D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A oferta de microcrédito orientado e com condições adequadas para capital de giro, compra de equipamentos e investimento inicial;</w:t>
      </w:r>
    </w:p>
    <w:p w:rsidR="00000000" w:rsidRPr="00000000" w:rsidP="00000000" w14:paraId="0000000E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A promoção de cursos e capacitações em gestão, finanças e marketing.</w:t>
      </w:r>
    </w:p>
    <w:p w:rsidR="00000000" w:rsidRPr="00000000" w:rsidP="00000000" w14:paraId="0000000F">
      <w:pPr>
        <w:spacing w:after="0" w:line="240" w:lineRule="auto"/>
        <w:ind w:firstLine="720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A implementação deste equipamento público garantiria o estímulo ao empreendedorismo local, a valorização do comércio e serviço do bairro, a criação de uma rede econômica mais forte e resiliente, e, consequentemente, a melhoria da qualidade de vida de toda a comunidade.</w:t>
      </w:r>
    </w:p>
    <w:p w:rsidR="00000000" w:rsidRPr="00000000" w:rsidP="00000000" w14:paraId="00000010">
      <w:pPr>
        <w:spacing w:after="0" w:line="240" w:lineRule="auto"/>
        <w:ind w:firstLine="720"/>
        <w:jc w:val="both"/>
        <w:rPr>
          <w:rFonts w:ascii="Arial" w:eastAsia="Arial" w:hAnsi="Arial" w:cs="Arial"/>
          <w:color w:val="0F1115"/>
        </w:rPr>
      </w:pPr>
      <w:r w:rsidRPr="00000000">
        <w:rPr>
          <w:rFonts w:ascii="Arial" w:eastAsia="Arial" w:hAnsi="Arial" w:cs="Arial"/>
          <w:rtl w:val="0"/>
        </w:rPr>
        <w:t>Certos da relevância desta proposta para o desenvolvimento econômico e social de Sumaré, aguardamos a adoção das providências necessárias para a sua avaliação e concretização.</w:t>
      </w:r>
    </w:p>
    <w:p w:rsidR="00000000" w:rsidRPr="00000000" w:rsidP="00000000" w14:paraId="00000011">
      <w:pPr>
        <w:spacing w:after="0" w:line="240" w:lineRule="auto"/>
        <w:jc w:val="right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Sala de sessões, 06 de fevereiro de 2026.</w:t>
      </w:r>
    </w:p>
    <w:p w:rsidR="00000000" w:rsidRPr="00000000" w:rsidP="00000000" w14:paraId="00000012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 w:rsidRPr="00000000">
        <w:rPr>
          <w:rFonts w:ascii="Arial" w:eastAsia="Arial" w:hAnsi="Arial" w:cs="Arial"/>
        </w:rPr>
        <w:drawing>
          <wp:inline distT="0" distB="0" distL="0" distR="0">
            <wp:extent cx="2677957" cy="1155197"/>
            <wp:effectExtent l="0" t="0" r="0" b="0"/>
            <wp:docPr id="4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1906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7957" cy="11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39B0AD-BF0C-4069-870E-B8C2FC8A916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204B474-391B-4A53-809F-4010C90AC696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ADC2FA89-2CB9-4888-817D-D862E5792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rm3xflmd95jb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264777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88318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833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447810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72415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6E92583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Hk0sbnas8Qj7moUPOrJRkEy+iw==">CgMxLjAyDmgucm0zeGZsbWQ5NWpiOAByITEwVzQ2c1RaVmhYa291dWRibldWbkZtRXBLZjkteFUzbA==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