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BF84C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27CBF">
        <w:rPr>
          <w:rFonts w:ascii="Arial" w:hAnsi="Arial" w:cs="Arial"/>
          <w:sz w:val="24"/>
          <w:szCs w:val="24"/>
        </w:rPr>
        <w:t>Kotakasa</w:t>
      </w:r>
      <w:r w:rsidR="00B27CBF">
        <w:rPr>
          <w:rFonts w:ascii="Arial" w:hAnsi="Arial" w:cs="Arial"/>
          <w:sz w:val="24"/>
          <w:szCs w:val="24"/>
        </w:rPr>
        <w:t xml:space="preserve"> Nomura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B27CBF">
        <w:rPr>
          <w:rFonts w:ascii="Arial" w:hAnsi="Arial" w:cs="Arial"/>
          <w:sz w:val="24"/>
          <w:szCs w:val="24"/>
        </w:rPr>
        <w:t>Parque Jatobá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7803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E70F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46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27CBF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2021-05-11T13:37:00Z</dcterms:created>
  <dcterms:modified xsi:type="dcterms:W3CDTF">2021-05-11T13:37:00Z</dcterms:modified>
</cp:coreProperties>
</file>