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26/2026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26/2026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Campanha Permanente de Conscientização sobre os Riscos dos Jogos de Azar Online no âmbito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