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responsabilidade administrativa de pais ou responsáveis legais por atos de maus-tratos contra animais praticados por menores de dezoito anos no Município de Sumaré,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