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4 de fevereiro de 2026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19/2026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19/2026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INSTITUI, NO ÂMBITO DO MUNICÍPIO DE SUMARÉ, A POSSIBILIDADE DE CONVERSÃO FACULTATIVA DE MULTAS DE TRÂNSITO DE NATUREZA LEVE OU MÉDIA EM MEDIDA EDUCATIVA DE INTERESSE PÚBLICO.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