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76" w:lineRule="auto"/>
        <w:ind w:right="282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Apresento respeitosamente o seguinte 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PROJETO DE LEI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, que:</w:t>
      </w:r>
    </w:p>
    <w:p w:rsidR="00000000" w:rsidRPr="00000000" w:rsidP="00000000" w14:paraId="00000003">
      <w:pPr>
        <w:spacing w:after="0" w:line="276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spacing w:after="0" w:line="276" w:lineRule="auto"/>
        <w:ind w:left="5811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“Dispõe sobre o ordenamento da paisagem urbana e a regulamentação da instalação de Painéis de LED, Outdoors Digitais e Painéis Publicitários Luminosos no Município de Sumaré, e dá outras providências”</w:t>
      </w:r>
    </w:p>
    <w:p w:rsidR="00000000" w:rsidRPr="00000000" w:rsidP="00000000" w14:paraId="00000005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Autores: Alan Leal, Allan Sangalli, João Maioral, Joel Cardoso</w:t>
      </w:r>
    </w:p>
    <w:p w:rsidR="00000000" w:rsidRPr="00000000" w:rsidP="00000000" w14:paraId="00000006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0000" w:rsidRPr="00000000" w:rsidP="00000000" w14:paraId="00000007">
      <w:pPr>
        <w:spacing w:before="240" w:after="240" w:line="276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A Câmara Municipal de Sumaré Aprovou e eu sanciono e promulgo a presente lei:</w:t>
      </w:r>
    </w:p>
    <w:p w:rsidR="00000000" w:rsidRPr="00000000" w:rsidP="00000000" w14:paraId="00000008">
      <w:pPr>
        <w:spacing w:before="240" w:after="240" w:line="276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pStyle w:val="Heading3"/>
        <w:spacing w:before="280" w:after="80" w:line="276" w:lineRule="auto"/>
        <w:rPr>
          <w:rFonts w:ascii="Arial" w:eastAsia="Arial" w:hAnsi="Arial" w:cs="Arial"/>
          <w:sz w:val="26"/>
          <w:szCs w:val="26"/>
        </w:rPr>
      </w:pPr>
      <w:bookmarkStart w:id="0" w:name="_heading=h.tct5km4z202c" w:colFirst="0" w:colLast="0"/>
      <w:bookmarkEnd w:id="0"/>
      <w:r w:rsidRPr="00000000">
        <w:rPr>
          <w:rFonts w:ascii="Arial" w:eastAsia="Arial" w:hAnsi="Arial" w:cs="Arial"/>
          <w:sz w:val="26"/>
          <w:szCs w:val="26"/>
          <w:rtl w:val="0"/>
        </w:rPr>
        <w:t>CAPÍTULO I</w:t>
      </w:r>
    </w:p>
    <w:p w:rsidR="00000000" w:rsidRPr="00000000" w:rsidP="00000000" w14:paraId="0000000A">
      <w:pPr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DAS DISPOSIÇÕES GERAIS E OBJETIVOS</w:t>
      </w:r>
    </w:p>
    <w:p w:rsidR="00000000" w:rsidRPr="00000000" w:rsidP="00000000" w14:paraId="0000000B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1º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Esta Lei regula a instalação, manutenção e funcionamento de painéis de LED, outdoors digitais e quaisquer painéis publicitários luminosos visíveis dos logradouros públicos no Município de Sumaré.</w:t>
      </w:r>
    </w:p>
    <w:p w:rsidR="00000000" w:rsidRPr="00000000" w:rsidP="00000000" w14:paraId="0000000C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2º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aplicação desta Lei tem como objetivos permanentes: </w:t>
      </w:r>
    </w:p>
    <w:p w:rsidR="00000000" w:rsidRPr="00000000" w:rsidP="00000000" w14:paraId="0000000D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O combate à poluição visual e a preservação da estética urbana; </w:t>
      </w:r>
    </w:p>
    <w:p w:rsidR="00000000" w:rsidRPr="00000000" w:rsidP="00000000" w14:paraId="0000000E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 – A segurança do trânsito de veículos e pedestres, evitando a distração e o ofuscamento visual; </w:t>
      </w:r>
    </w:p>
    <w:p w:rsidR="00000000" w:rsidRPr="00000000" w:rsidP="00000000" w14:paraId="0000000F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III – A garantia da visibilidade da sinalização de trânsito e dos bens de valor histórico e cultural; </w:t>
      </w:r>
    </w:p>
    <w:p w:rsidR="00000000" w:rsidRPr="00000000" w:rsidP="00000000" w14:paraId="00000010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O equilíbrio entre o direito de anunciar e o direito da população a uma cidade ordenada.</w:t>
      </w:r>
    </w:p>
    <w:p w:rsidR="00000000" w:rsidRPr="00000000" w:rsidP="00000000" w14:paraId="00000011">
      <w:pPr>
        <w:pStyle w:val="Heading3"/>
        <w:spacing w:before="280" w:after="80" w:line="276" w:lineRule="auto"/>
        <w:rPr>
          <w:rFonts w:ascii="Arial" w:eastAsia="Arial" w:hAnsi="Arial" w:cs="Arial"/>
          <w:sz w:val="26"/>
          <w:szCs w:val="26"/>
        </w:rPr>
      </w:pPr>
      <w:bookmarkStart w:id="1" w:name="_heading=h.fz97phr3t88k" w:colFirst="0" w:colLast="0"/>
      <w:bookmarkEnd w:id="1"/>
      <w:r w:rsidRPr="00000000">
        <w:rPr>
          <w:rFonts w:ascii="Arial" w:eastAsia="Arial" w:hAnsi="Arial" w:cs="Arial"/>
          <w:sz w:val="26"/>
          <w:szCs w:val="26"/>
          <w:rtl w:val="0"/>
        </w:rPr>
        <w:t>CAPÍTULO II</w:t>
      </w:r>
    </w:p>
    <w:p w:rsidR="00000000" w:rsidRPr="00000000" w:rsidP="00000000" w14:paraId="00000012">
      <w:pPr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DAS DEFINIÇÕES E CLASSIFICAÇÕES</w:t>
      </w:r>
    </w:p>
    <w:p w:rsidR="00000000" w:rsidRPr="00000000" w:rsidP="00000000" w14:paraId="00000013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3º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Para os efeitos desta Lei, considera-se: </w:t>
      </w:r>
    </w:p>
    <w:p w:rsidR="00000000" w:rsidRPr="00000000" w:rsidP="00000000" w14:paraId="00000014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Painel de LED/Outdoor Digital: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Painel publicitário composto por diodos emissores de luz, capaz de exibir imagens estáticas ou em movimento;</w:t>
      </w:r>
    </w:p>
    <w:p w:rsidR="00000000" w:rsidRPr="00000000" w:rsidP="00000000" w14:paraId="00000015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 –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Fachada: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área frontal externa de edificações onde se exerce atividade econômica.</w:t>
      </w:r>
    </w:p>
    <w:p w:rsidR="00000000" w:rsidRPr="00000000" w:rsidP="00000000" w14:paraId="00000016">
      <w:pPr>
        <w:pStyle w:val="Heading3"/>
        <w:spacing w:before="280" w:after="80" w:line="276" w:lineRule="auto"/>
        <w:rPr>
          <w:rFonts w:ascii="Arial" w:eastAsia="Arial" w:hAnsi="Arial" w:cs="Arial"/>
          <w:sz w:val="26"/>
          <w:szCs w:val="26"/>
        </w:rPr>
      </w:pPr>
      <w:bookmarkStart w:id="2" w:name="_heading=h.k5mtifv6afv7" w:colFirst="0" w:colLast="0"/>
      <w:bookmarkEnd w:id="2"/>
      <w:r w:rsidRPr="00000000">
        <w:rPr>
          <w:rFonts w:ascii="Arial" w:eastAsia="Arial" w:hAnsi="Arial" w:cs="Arial"/>
          <w:sz w:val="26"/>
          <w:szCs w:val="26"/>
          <w:rtl w:val="0"/>
        </w:rPr>
        <w:t>CAPÍTULO III</w:t>
      </w:r>
    </w:p>
    <w:p w:rsidR="00000000" w:rsidRPr="00000000" w:rsidP="00000000" w14:paraId="00000017">
      <w:pPr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DAS DIMENSÕES, LOCALIZAÇÃO E REGRAS TÉCNICAS</w:t>
      </w:r>
    </w:p>
    <w:p w:rsidR="00000000" w:rsidRPr="00000000" w:rsidP="00000000" w14:paraId="00000018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4º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instalação de painéis de LED e outdoors luminosos em lotes privados, visíveis para a via pública, deverá obedecer às seguintes metragens máximas de área de exibição (tela):</w:t>
      </w:r>
    </w:p>
    <w:p w:rsidR="00000000" w:rsidRPr="00000000" w:rsidP="00000000" w14:paraId="00000019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Para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anúncios indicativos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(aqueles que identificam o estabelecimento no próprio local): </w:t>
      </w:r>
    </w:p>
    <w:p w:rsidR="00000000" w:rsidRPr="00000000" w:rsidP="00000000" w14:paraId="0000001A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a) Em imóveis com testada (frente) inferior a 10 (dez) metros: área máxima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1,50 m²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(um vírgula cinquenta metros quadrados); </w:t>
      </w:r>
    </w:p>
    <w:p w:rsidR="00000000" w:rsidRPr="00000000" w:rsidP="00000000" w14:paraId="0000001B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b) Em imóveis com testada igual ou superior a 10 (dez) metros: área máxima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4,00 m²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(quatro metros quadrados).</w:t>
      </w:r>
    </w:p>
    <w:p w:rsidR="00000000" w:rsidRPr="00000000" w:rsidP="00000000" w14:paraId="0000001C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 – Para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anúncios publicitários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(outdoors/painéis de terceiros em terrenos vagos ou topos de prédios): </w:t>
      </w:r>
    </w:p>
    <w:p w:rsidR="00000000" w:rsidRPr="00000000" w:rsidP="00000000" w14:paraId="0000001D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a) A área total de exibição não poderá exceder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10,00 m²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(dez metros quadrados); </w:t>
      </w:r>
    </w:p>
    <w:p w:rsidR="00000000" w:rsidRPr="00000000" w:rsidP="00000000" w14:paraId="0000001E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b) A altura máxima do painel, incluindo sua estrutura de sustentação, não poderá ultrapassar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9,00 m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(nove metros) contados a partir do nível do solo.</w:t>
      </w:r>
    </w:p>
    <w:p w:rsidR="00000000" w:rsidRPr="00000000" w:rsidP="00000000" w14:paraId="0000001F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5º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Para garantir a segurança viária e o conforto ambiental, os painéis luminosos devem obrigatoriamente possuir: </w:t>
      </w:r>
    </w:p>
    <w:p w:rsidR="00000000" w:rsidRPr="00000000" w:rsidP="00000000" w14:paraId="00000020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Sistema automático de controle de luminosidade (dimmer), que reduza a intensidade da luz entre as 19h00 e as 06h00; </w:t>
      </w:r>
    </w:p>
    <w:p w:rsidR="00000000" w:rsidRPr="00000000" w:rsidP="00000000" w14:paraId="00000021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Tecnologia que impeça o ofuscamento da visão de motoristas, transeuntes e moradores vizinhos.</w:t>
      </w:r>
    </w:p>
    <w:p w:rsidR="00000000" w:rsidRPr="00000000" w:rsidP="00000000" w14:paraId="00000022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§ 1º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É expressamente proibida a veiculação de imagens com efeitos de "flash", luz estroboscópica ou variações bruscas de luminosidade que possam causar risco de distração severa aos condutores.</w:t>
      </w:r>
    </w:p>
    <w:p w:rsidR="00000000" w:rsidRPr="00000000" w:rsidP="00000000" w14:paraId="00000023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§ 2º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troca de imagem estática nos painéis publicitários deve ocorrer em intervalos não inferiores a 10 (dez) segundos.</w:t>
      </w:r>
    </w:p>
    <w:p w:rsidR="00000000" w:rsidRPr="00000000" w:rsidP="00000000" w14:paraId="00000024">
      <w:pPr>
        <w:pStyle w:val="Heading3"/>
        <w:spacing w:before="280" w:after="80" w:line="276" w:lineRule="auto"/>
        <w:rPr>
          <w:rFonts w:ascii="Arial" w:eastAsia="Arial" w:hAnsi="Arial" w:cs="Arial"/>
          <w:sz w:val="26"/>
          <w:szCs w:val="26"/>
        </w:rPr>
      </w:pPr>
      <w:bookmarkStart w:id="3" w:name="_heading=h.9wzb3kh0zgck" w:colFirst="0" w:colLast="0"/>
      <w:bookmarkEnd w:id="3"/>
      <w:r w:rsidRPr="00000000">
        <w:rPr>
          <w:rFonts w:ascii="Arial" w:eastAsia="Arial" w:hAnsi="Arial" w:cs="Arial"/>
          <w:sz w:val="26"/>
          <w:szCs w:val="26"/>
          <w:rtl w:val="0"/>
        </w:rPr>
        <w:t>CAPÍTULO IV</w:t>
      </w:r>
    </w:p>
    <w:p w:rsidR="00000000" w:rsidRPr="00000000" w:rsidP="00000000" w14:paraId="00000025">
      <w:pPr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DAS PROIBIÇÕES E DO DISTANCIAMENTO</w:t>
      </w:r>
    </w:p>
    <w:p w:rsidR="00000000" w:rsidRPr="00000000" w:rsidP="00000000" w14:paraId="00000026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6º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Fica proibida a instalação de painéis de LED e outdoors luminosos: </w:t>
      </w:r>
    </w:p>
    <w:p w:rsidR="00000000" w:rsidRPr="00000000" w:rsidP="00000000" w14:paraId="00000027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Em árvores, postes de iluminação pública, sinalização de trânsito ou obras de arte especiais (pontes e viadutos); </w:t>
      </w:r>
    </w:p>
    <w:p w:rsidR="00000000" w:rsidRPr="00000000" w:rsidP="00000000" w14:paraId="00000028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 – Em áreas de preservação permanente (APP) ou parques públicos; </w:t>
      </w:r>
    </w:p>
    <w:p w:rsidR="00000000" w:rsidRPr="00000000" w:rsidP="00000000" w14:paraId="00000029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III – A menos de 50 (cinquenta) metros de semáforos, para evitar confusão visual com a sinalização; </w:t>
      </w:r>
    </w:p>
    <w:p w:rsidR="00000000" w:rsidRPr="00000000" w:rsidP="00000000" w14:paraId="0000002A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Em imóveis residenciais exclusivos.</w:t>
      </w:r>
    </w:p>
    <w:p w:rsidR="00000000" w:rsidRPr="00000000" w:rsidP="00000000" w14:paraId="0000002B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7º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Para evitar o aglomerado visual (poluição), deve-se respeitar o distanciamento mínimo (raio) entre dois painéis publicitários de LED: </w:t>
      </w:r>
    </w:p>
    <w:p w:rsidR="00000000" w:rsidRPr="00000000" w:rsidP="00000000" w14:paraId="0000002C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200 (duzentos) metros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quando instalados na mesma via ou sentido de direção; </w:t>
      </w:r>
    </w:p>
    <w:p w:rsidR="00000000" w:rsidRPr="00000000" w:rsidP="00000000" w14:paraId="0000002D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 –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100 (cem) metros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quando instalados em vias transversais.</w:t>
      </w:r>
    </w:p>
    <w:p w:rsidR="00000000" w:rsidRPr="00000000" w:rsidP="00000000" w14:paraId="0000002E">
      <w:pPr>
        <w:pStyle w:val="Heading3"/>
        <w:spacing w:before="280" w:after="80" w:line="276" w:lineRule="auto"/>
        <w:rPr>
          <w:rFonts w:ascii="Arial" w:eastAsia="Arial" w:hAnsi="Arial" w:cs="Arial"/>
          <w:sz w:val="26"/>
          <w:szCs w:val="26"/>
        </w:rPr>
      </w:pPr>
      <w:bookmarkStart w:id="4" w:name="_heading=h.wr9ezblps311" w:colFirst="0" w:colLast="0"/>
      <w:bookmarkEnd w:id="4"/>
      <w:r w:rsidRPr="00000000">
        <w:rPr>
          <w:rFonts w:ascii="Arial" w:eastAsia="Arial" w:hAnsi="Arial" w:cs="Arial"/>
          <w:sz w:val="26"/>
          <w:szCs w:val="26"/>
          <w:rtl w:val="0"/>
        </w:rPr>
        <w:t>CAPÍTULO V</w:t>
      </w:r>
    </w:p>
    <w:p w:rsidR="00000000" w:rsidRPr="00000000" w:rsidP="00000000" w14:paraId="0000002F">
      <w:pPr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DO LICENCIAMENTO E CADASTRO</w:t>
      </w:r>
    </w:p>
    <w:p w:rsidR="00000000" w:rsidRPr="00000000" w:rsidP="00000000" w14:paraId="00000030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8º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instalação de qualquer painel previsto nesta Lei depende de prévia autorização da Prefeitura Municipal de Sumaré, mediante solicitação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Licença Para Anúncio Publicitário Luminoso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31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Parágrafo único.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pedido de licença deverá ser instruído com: </w:t>
      </w:r>
    </w:p>
    <w:p w:rsidR="00000000" w:rsidRPr="00000000" w:rsidP="00000000" w14:paraId="00000032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Projeto técnico assinado por profissional habilitado (Engenheiro ou Arquiteto) com a devida ART/RRT, atestando a segurança da estrutura; </w:t>
      </w:r>
    </w:p>
    <w:p w:rsidR="00000000" w:rsidRPr="00000000" w:rsidP="00000000" w14:paraId="00000033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 – Croqui de localização e fotomontagem da inserção na paisagem; </w:t>
      </w:r>
    </w:p>
    <w:p w:rsidR="00000000" w:rsidRPr="00000000" w:rsidP="00000000" w14:paraId="00000034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Especificações técnicas de luminosidade.</w:t>
      </w:r>
    </w:p>
    <w:p w:rsidR="00000000" w:rsidRPr="00000000" w:rsidP="00000000" w14:paraId="00000035">
      <w:pPr>
        <w:pStyle w:val="Heading3"/>
        <w:spacing w:before="280" w:after="80" w:line="276" w:lineRule="auto"/>
        <w:rPr>
          <w:rFonts w:ascii="Arial" w:eastAsia="Arial" w:hAnsi="Arial" w:cs="Arial"/>
          <w:sz w:val="26"/>
          <w:szCs w:val="26"/>
        </w:rPr>
      </w:pPr>
      <w:bookmarkStart w:id="5" w:name="_heading=h.5atv2o9j3mar" w:colFirst="0" w:colLast="0"/>
      <w:bookmarkEnd w:id="5"/>
      <w:r w:rsidRPr="00000000">
        <w:rPr>
          <w:rFonts w:ascii="Arial" w:eastAsia="Arial" w:hAnsi="Arial" w:cs="Arial"/>
          <w:sz w:val="26"/>
          <w:szCs w:val="26"/>
          <w:rtl w:val="0"/>
        </w:rPr>
        <w:t>CAPÍTULO VI</w:t>
      </w:r>
    </w:p>
    <w:p w:rsidR="00000000" w:rsidRPr="00000000" w:rsidP="00000000" w14:paraId="00000036">
      <w:pPr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DAS INFRAÇÕES E PENALIDADES</w:t>
      </w:r>
    </w:p>
    <w:p w:rsidR="00000000" w:rsidRPr="00000000" w:rsidP="00000000" w14:paraId="00000037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9º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descumprimento das disposições desta Lei sujeitará o infrator às seguintes penalidades: </w:t>
      </w:r>
    </w:p>
    <w:p w:rsidR="00000000" w:rsidRPr="00000000" w:rsidP="00000000" w14:paraId="00000038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Notificação para regularização no prazo de 15 (quinze) dias; </w:t>
      </w:r>
    </w:p>
    <w:p w:rsidR="00000000" w:rsidRPr="00000000" w:rsidP="00000000" w14:paraId="00000039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 – Multa no valor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100 (cem) Unidades Fiscais do Município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dobrada em caso de reincidência; </w:t>
      </w:r>
    </w:p>
    <w:p w:rsidR="00000000" w:rsidRPr="00000000" w:rsidP="00000000" w14:paraId="0000003A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III – Remoção imediata do painel, com custos repassados ao proprietário; </w:t>
      </w:r>
    </w:p>
    <w:p w:rsidR="00000000" w:rsidRPr="00000000" w:rsidP="00000000" w14:paraId="0000003B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Cancelamento da Licença de Funcionamento do estabelecimento, em casos graves.</w:t>
      </w:r>
    </w:p>
    <w:p w:rsidR="00000000" w:rsidRPr="00000000" w:rsidP="00000000" w14:paraId="0000003C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10.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Os painéis já instalados e que estejam em desacordo com esta Lei terão o prazo de 180 (cento e oitenta) dias, a contar da publicação desta, para se adequarem às novas normas.</w:t>
      </w:r>
    </w:p>
    <w:p w:rsidR="00000000" w:rsidRPr="00000000" w:rsidP="00000000" w14:paraId="0000003D">
      <w:pPr>
        <w:pStyle w:val="Heading3"/>
        <w:spacing w:before="280" w:after="80" w:line="276" w:lineRule="auto"/>
        <w:rPr>
          <w:rFonts w:ascii="Arial" w:eastAsia="Arial" w:hAnsi="Arial" w:cs="Arial"/>
          <w:sz w:val="26"/>
          <w:szCs w:val="26"/>
        </w:rPr>
      </w:pPr>
      <w:bookmarkStart w:id="6" w:name="_heading=h.mtqn7kyecuoc" w:colFirst="0" w:colLast="0"/>
      <w:bookmarkEnd w:id="6"/>
      <w:r w:rsidRPr="00000000">
        <w:rPr>
          <w:rFonts w:ascii="Arial" w:eastAsia="Arial" w:hAnsi="Arial" w:cs="Arial"/>
          <w:sz w:val="26"/>
          <w:szCs w:val="26"/>
          <w:rtl w:val="0"/>
        </w:rPr>
        <w:t>CAPÍTULO VII</w:t>
      </w:r>
    </w:p>
    <w:p w:rsidR="00000000" w:rsidRPr="00000000" w:rsidP="00000000" w14:paraId="0000003E">
      <w:pPr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DAS DISPOSIÇÕES FINAIS</w:t>
      </w:r>
    </w:p>
    <w:p w:rsidR="00000000" w:rsidRPr="00000000" w:rsidP="00000000" w14:paraId="0000003F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11.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Poder Executivo regulamentará esta Lei, no que couber, no prazo de 90 (noventa) dias.</w:t>
      </w:r>
    </w:p>
    <w:p w:rsidR="00000000" w:rsidRPr="00000000" w:rsidP="00000000" w14:paraId="00000040">
      <w:pPr>
        <w:spacing w:before="240" w:after="240" w:line="276" w:lineRule="auto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12.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Esta Lei entra em vigor na data de sua publicação.</w:t>
      </w:r>
    </w:p>
    <w:p w:rsidR="00000000" w:rsidRPr="00000000" w:rsidP="00000000" w14:paraId="00000041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42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43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44">
      <w:pPr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Sumaré, </w:t>
      </w:r>
      <w:r w:rsidRPr="00000000">
        <w:rPr>
          <w:rFonts w:ascii="Arial" w:eastAsia="Arial" w:hAnsi="Arial" w:cs="Arial"/>
          <w:sz w:val="24"/>
          <w:szCs w:val="24"/>
          <w:rtl w:val="0"/>
        </w:rPr>
        <w:t>15 de janeiro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</w:t>
      </w:r>
    </w:p>
    <w:p w:rsidR="00000000" w:rsidRPr="00000000" w:rsidP="00000000" w14:paraId="00000045">
      <w:pPr>
        <w:jc w:val="center"/>
        <w:rPr>
          <w:color w:val="000000"/>
        </w:rPr>
      </w:pPr>
    </w:p>
    <w:p w:rsidR="00000000" w:rsidRPr="00000000" w:rsidP="00000000" w14:paraId="00000046">
      <w:pPr>
        <w:jc w:val="center"/>
      </w:pPr>
      <w:r w:rsidRPr="00000000">
        <w:br w:type="page"/>
      </w:r>
    </w:p>
    <w:p w:rsidR="00000000" w:rsidRPr="00000000" w:rsidP="00000000" w14:paraId="00000047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4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>Senhor Presidente, Nobres Pares,</w:t>
      </w:r>
    </w:p>
    <w:p w:rsidR="00000000" w:rsidRPr="00000000" w:rsidP="00000000" w14:paraId="0000004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4B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Apresentamos o presente Projeto de Lei que visa regulamentar a instalação de painéis de LED e outdoors luminosos em Sumaré.</w:t>
      </w:r>
    </w:p>
    <w:p w:rsidR="00000000" w:rsidRPr="00000000" w:rsidP="00000000" w14:paraId="0000004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4D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crescimento urbano de nossa cidade trouxe consigo a modernização dos meios de publicidade. No entanto, a proliferação desordenada de painéis digitais de grandes proporções tem gerado dois graves problemas: a poluição visual, que degrada a qualidade de vida e a estética da cidade, e o risco viário.</w:t>
      </w:r>
    </w:p>
    <w:p w:rsidR="00000000" w:rsidRPr="00000000" w:rsidP="00000000" w14:paraId="0000004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4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Estudos indicam que o brilho excessivo e a movimentação constante de imagens em grandes formatos distraem motoristas, aumentando o risco de acidentes, especialmente à noite. Inspirado em modelos de sucesso, como a "Lei Cidade Limpa" da capital paulista, este projeto não proíbe a atividade econômica da publicidade, mas a disciplina.</w:t>
      </w:r>
    </w:p>
    <w:p w:rsidR="00000000" w:rsidRPr="00000000" w:rsidP="00000000" w14:paraId="0000005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1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Estabelecemos aqui uma metragem máxima sensata (10m² para grandes painéis) e regras de distanciamento para evitar que Sumaré se torne um emaranhado de luzes desconexas. Também exigimos controle de luminosidade noturna, protegendo o sono dos moradores e a visão dos motoristas.</w:t>
      </w:r>
    </w:p>
    <w:p w:rsidR="00000000" w:rsidRPr="00000000" w:rsidP="00000000" w14:paraId="0000005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3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Trata-se de uma medida de urbanismo moderno, segurança pública e respeito ao cidadão sumareense, assim, concluindo, com o devido respeito, submetemos o presente Projeto de Lei à elevada apreciação dos nobres Vereadores que integram esta Casa Legislativa, na esperança e certeza de que, após regular tramitação, seja afinal deliberado e aprovado na devida forma.</w:t>
      </w:r>
    </w:p>
    <w:p w:rsidR="00000000" w:rsidRPr="00000000" w:rsidP="00000000" w14:paraId="00000054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8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15 de janeiro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</w:t>
      </w:r>
    </w:p>
    <w:p w:rsidR="00000000" w:rsidRPr="00000000" w:rsidP="00000000" w14:paraId="00000059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A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  <w:r w:rsidRPr="00000000">
        <mc:AlternateContent>
          <mc:Choice Requires="wps">
            <w:drawing>
              <wp:anchor distT="114300" distB="114300" distL="114300" distR="114300" simplePos="0" relativeHeight="251658240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850580" cy="419100"/>
                <wp:effectExtent l="0" t="0" r="0" b="0"/>
                <wp:wrapNone/>
                <wp:docPr id="16211982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97400" y="492875"/>
                          <a:ext cx="58505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240" w:after="240" w:line="275" w:lineRule="auto"/>
                              <w:ind w:left="0" w:right="0" w:firstLine="0"/>
                              <w:jc w:val="right"/>
                            </w:pPr>
                            <w:r w:rsidRPr="00000000"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Alan Leal     Allan Sangalli     João Maioral     Joel Cardoso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distT="114300" distB="114300" distL="114300" distR="114300" simplePos="0" relativeHeight="251659264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850580" cy="419100"/>
                <wp:effectExtent l="0" t="0" r="0" b="0"/>
                <wp:wrapNone/>
                <wp:docPr id="3104503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191729" name="image2.png"/>
                        <pic:cNvPicPr/>
                      </pic:nvPicPr>
                      <pic:blipFill>
                        <a:blip xmlns:r="http://schemas.openxmlformats.org/officeDocument/2006/relationships"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058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5B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C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D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E">
      <w:pPr>
        <w:ind w:firstLine="708"/>
        <w:jc w:val="lef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F">
      <w:pPr>
        <w:ind w:firstLine="708"/>
        <w:jc w:val="center"/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60">
      <w:pPr>
        <w:jc w:val="center"/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98BD2B-0AE6-4832-BE15-2DFA18FF4B9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DA5A483-387C-4309-92B1-9490EB3BE887}"/>
  </w:font>
  <w:font w:name="Arial">
    <w:charset w:val="00"/>
    <w:family w:val="auto"/>
    <w:pitch w:val="default"/>
  </w:font>
  <w:font w:name="ArialMT">
    <w:charset w:val="00"/>
    <w:family w:val="auto"/>
    <w:pitch w:val="default"/>
  </w:font>
  <w:font w:name="Calibri Light">
    <w:charset w:val="00"/>
    <w:family w:val="auto"/>
    <w:pitch w:val="default"/>
    <w:embedRegular r:id="rId3" w:fontKey="{495DA7BA-3CBC-467F-8548-14B0760DA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6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62">
    <w:bookmarkStart w:id="7" w:name="_heading=h.3znysh7" w:colFirst="0" w:colLast="0"/>
    <w:bookmarkEnd w:id="7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69850</wp:posOffset>
              </wp:positionV>
              <wp:extent cx="6287827" cy="63500"/>
              <wp:effectExtent l="0" t="0" r="0" b="0"/>
              <wp:wrapNone/>
              <wp:docPr id="162119820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69850</wp:posOffset>
              </wp:positionV>
              <wp:extent cx="6287827" cy="63500"/>
              <wp:effectExtent l="0" t="0" r="0" b="0"/>
              <wp:wrapNone/>
              <wp:docPr id="5894988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704163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7827" cy="63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6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6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61">
    <w:r w:rsidRPr="00000000">
      <w:drawing>
        <wp:inline distT="0" distB="0" distL="0" distR="0">
          <wp:extent cx="1526058" cy="534121"/>
          <wp:effectExtent l="0" t="0" r="0" b="0"/>
          <wp:docPr id="16211982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0738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1198206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6" name="Shape 16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04639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24802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Normal_0"/>
    <w:tblPr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paragraph" w:customStyle="1" w:styleId="normal2">
    <w:name w:val="normal_2"/>
  </w:style>
  <w:style w:type="table" w:customStyle="1" w:styleId="TableNormal00">
    <w:name w:val="Table Normal_0"/>
    <w:tblPr/>
  </w:style>
  <w:style w:type="table" w:customStyle="1" w:styleId="TableNormal10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0">
    <w:name w:val="Table Normal_0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2"/>
    <w:uiPriority w:val="34"/>
    <w:qFormat/>
    <w:locked/>
    <w:rsid w:val="00F979AD"/>
    <w:pPr>
      <w:ind w:left="720"/>
      <w:contextualSpacing/>
    </w:p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1.pn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mfdHvLlrqvmhG+5d47BOutJxXA==">CgMxLjAyDmgudGN0NWttNHoyMDJjMg5oLmZ6OTdwaHIzdDg4azIOaC5rNW10aWZ2NmFmdjcyDmguOXd6YjNraDB6Z2NrMg5oLndyOWV6YmxwczMxMTIOaC41YXR2Mm85ajNtYXIyDmgubXRxbjdreWVjdW9jMgloLjN6bnlzaDc4AHIhMWxEWWYzcGpoNUExUmVYNF9XMEFUVERReHMtTk13bTRh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2025-01-16T14:51:00Z</dcterms:created>
</cp:coreProperties>
</file>