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2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Municipal a celebrar termo de acordo para parcelamento de débitos junto a companhia paulista de força e luz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