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519/2025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os dispositivos que menciona da Lei Municipal nº 4595, de 03 de abril de 2008 e dá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