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519/2025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os dispositivos que menciona da Lei Municipal nº 4595, de 03 de abril de 2008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