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os dispositivos que menciona da Lei Municipal nº 4595, de 03 de abril de 2008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