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519/2025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os dispositivos que menciona da Lei Municipal nº 4595, de 03 de abril de 2008 e dá outras providências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