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17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o artigo 4º da Lei Municipal nº 5593, de 26 de dezembro de 2013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