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517/2025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artigo 4º da Lei Municipal nº 5593, de 26 de dezembro de 2013.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