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colocação de panfletos, folhetos, propagandas ou impressos publicitários em veículos estacionados no Município de Sumaré, estabelece penalidades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