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da Lei Municipal nº 4163, de 04 de maio de 2006, que dispõe sobre os princípios, objetivos, e diretrizes gerais das políticas públicas municipais de atendimento aos direitos das pessoas com deficiência, sobre o Fundo Municipal dos Direitos da Pessoa com  Deficiência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