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23D8" w:rsidP="006C7B8A" w14:paraId="3E19846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623D8">
        <w:rPr>
          <w:rFonts w:ascii="Tahoma" w:hAnsi="Tahoma" w:cs="Tahoma"/>
          <w:b/>
          <w:sz w:val="24"/>
          <w:szCs w:val="24"/>
        </w:rPr>
        <w:t>Roçagem e limpeza de terreno público situado entre a Rua Campinas e a Rua Guadalajara – Vila Yolanda Costa e Silva</w:t>
      </w:r>
    </w:p>
    <w:p w:rsidR="00287063" w:rsidRPr="006C7B8A" w:rsidP="006C7B8A" w14:paraId="7F498C4D" w14:textId="07C86F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623D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mato alto e a falta de manutenção em um terreno de domínio público. O crescimento descontrolado da vegetação atrai animais peçonhentos, compromete a segurança e a saúde pública e pode ser utilizado para descarte irregular de lixo e entulho. A intervenção com o serviço de roçagem é necessária para garantir a limpeza, o controle de pragas, a segurança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687"/>
    <w:rsid w:val="00C13BFC"/>
    <w:rsid w:val="00C25905"/>
    <w:rsid w:val="00C36776"/>
    <w:rsid w:val="00C623D8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1187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2025-11-10T16:26:00Z</dcterms:created>
  <dcterms:modified xsi:type="dcterms:W3CDTF">2025-11-10T16:26:00Z</dcterms:modified>
</cp:coreProperties>
</file>