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LEAL, PEREIRINHA, WELLINGTON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responsabilização administrativa e a aplicação de penalidades ao tutor ou proprietário de cães da raça Pitbull, ou dela descendente, em caso de agressão ou lesão a pessoas ou outros animais no Munic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