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494/2025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LEAL, PEREIRINHA, WELLINGTON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responsabilização administrativa e a aplicação de penalidades ao tutor ou proprietário de cães da raça Pitbull, ou dela descendente, em caso de agressão ou lesão a pessoas ou outros animais no Munic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