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3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responsabilização administrativa e a aplicação de penalidades ao tutor ou proprietário de cães da raça Pitbull, ou dela descendente, em caso de agressão ou lesão a pessoas ou outros animais no Município de Sumaré, e dá outras providências.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Leal, Pereirinha, Wellington de Souza</w:t>
      </w:r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8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sanciono e promulgo a seguinte lei:</w:t>
      </w:r>
    </w:p>
    <w:p w:rsidR="00000000" w:rsidRPr="00000000" w:rsidP="00000000" w14:paraId="0000000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pStyle w:val="Heading3"/>
        <w:spacing w:before="280" w:after="80" w:line="276" w:lineRule="auto"/>
        <w:jc w:val="both"/>
        <w:rPr>
          <w:rFonts w:ascii="Arial" w:eastAsia="Arial" w:hAnsi="Arial" w:cs="Arial"/>
          <w:sz w:val="26"/>
          <w:szCs w:val="26"/>
        </w:rPr>
      </w:pPr>
      <w:bookmarkStart w:id="0" w:name="_heading=h.8gpkdsrzajsb" w:colFirst="0" w:colLast="0"/>
      <w:bookmarkEnd w:id="0"/>
      <w:r w:rsidRPr="00000000">
        <w:rPr>
          <w:rFonts w:ascii="Arial" w:eastAsia="Arial" w:hAnsi="Arial" w:cs="Arial"/>
          <w:sz w:val="26"/>
          <w:szCs w:val="26"/>
          <w:rtl w:val="0"/>
        </w:rPr>
        <w:t>Capítulo I – Das Disposições Preliminares</w:t>
      </w:r>
    </w:p>
    <w:p w:rsidR="00000000" w:rsidRPr="00000000" w:rsidP="00000000" w14:paraId="0000000B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Projeto de Lei estabelece a responsabilidade e as penalidades administrativas aplicáveis aos tutores ou proprietários de cães da raça Pitbull, ou de raças dela descendentes, que, por falta de cautela, negligência ou inobservância das normas de segurança e manejo, permitirem que seus animais causem agressão ou lesão a pessoas ou outros animais em vias, logradouros, parques ou espaços públicos, bem como em propriedades privadas de terceiros, no Município de Sumaré.</w:t>
      </w:r>
    </w:p>
    <w:p w:rsidR="00000000" w:rsidRPr="00000000" w:rsidP="00000000" w14:paraId="0000000C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os efeitos desta Lei, considera-se:</w:t>
      </w:r>
    </w:p>
    <w:p w:rsidR="00000000" w:rsidRPr="00000000" w:rsidP="00000000" w14:paraId="0000000D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Agressão: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ato de morder ou ferir pessoas ou outros animais que exija atendimento veterinário ou médico.</w:t>
      </w:r>
    </w:p>
    <w:p w:rsidR="00000000" w:rsidRPr="00000000" w:rsidP="00000000" w14:paraId="0000000E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Tutor/Proprietário: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pessoa física que, a qualquer título, detém a posse ou a guarda do animal no momento da agressão ou do fato que gerou a lesão.</w:t>
      </w:r>
    </w:p>
    <w:p w:rsidR="00000000" w:rsidRPr="00000000" w:rsidP="00000000" w14:paraId="0000000F">
      <w:pPr>
        <w:pStyle w:val="Heading3"/>
        <w:spacing w:before="280" w:after="80" w:line="276" w:lineRule="auto"/>
        <w:jc w:val="both"/>
        <w:rPr>
          <w:rFonts w:ascii="Arial" w:eastAsia="Arial" w:hAnsi="Arial" w:cs="Arial"/>
          <w:sz w:val="26"/>
          <w:szCs w:val="26"/>
        </w:rPr>
      </w:pPr>
      <w:bookmarkStart w:id="1" w:name="_heading=h.5ifyh2mut4df" w:colFirst="0" w:colLast="0"/>
      <w:bookmarkEnd w:id="1"/>
      <w:r w:rsidRPr="00000000">
        <w:rPr>
          <w:rFonts w:ascii="Arial" w:eastAsia="Arial" w:hAnsi="Arial" w:cs="Arial"/>
          <w:sz w:val="26"/>
          <w:szCs w:val="26"/>
          <w:rtl w:val="0"/>
        </w:rPr>
        <w:t>Capítulo II – Das Penalidades e Medidas Administrativas</w:t>
      </w:r>
    </w:p>
    <w:p w:rsidR="00000000" w:rsidRPr="00000000" w:rsidP="00000000" w14:paraId="00000010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tutor ou proprietário do cão que comprovadamente agredir ou lesionar pessoa ou outro animal, e o animal for recolhido pelo Departamento de Bem-Estar Animal ou Departamento de Zoonoses, será penalizado com as seguintes sanções administrativas, aplicadas cumulativamente, sem prejuízo das responsabilidades civis e criminais cabíveis:</w:t>
      </w:r>
    </w:p>
    <w:p w:rsidR="00000000" w:rsidRPr="00000000" w:rsidP="00000000" w14:paraId="00000011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Multa Administrativa por Irresponsabilidade e Custas de Apreensão: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órgão municipal competente lançará multa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1.600 (mil e seiscentas) UFMS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(Unidade Fiscal do Município de Sumaré) no Cadastro de Pessoa Física (CPF) do tutor ou proprietário, caso seja devidamente identificado.</w:t>
      </w:r>
    </w:p>
    <w:p w:rsidR="00000000" w:rsidRPr="00000000" w:rsidP="00000000" w14:paraId="00000012">
      <w:pPr>
        <w:numPr>
          <w:ilvl w:val="0"/>
          <w:numId w:val="1"/>
        </w:numPr>
        <w:spacing w:before="240" w:after="0" w:afterAutospacing="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§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multa prevista no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caput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será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dobrada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caso de reincidência de agressão ou lesão pelo mesmo animal.</w:t>
      </w:r>
    </w:p>
    <w:p w:rsidR="00000000" w:rsidRPr="00000000" w:rsidP="00000000" w14:paraId="00000013">
      <w:pPr>
        <w:numPr>
          <w:ilvl w:val="0"/>
          <w:numId w:val="1"/>
        </w:numPr>
        <w:spacing w:before="0" w:beforeAutospacing="0" w:after="0" w:afterAutospacing="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§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lançamento e cobrança da multa serão precedidos de publicação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Edital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notificação, sendo garantido ao tutor ou proprietário o prazo legal para apresentação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defesa administrativa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14">
      <w:pPr>
        <w:numPr>
          <w:ilvl w:val="0"/>
          <w:numId w:val="1"/>
        </w:numPr>
        <w:spacing w:before="0" w:beforeAutospacing="0" w:after="24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§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Departamento de Bem-Estar Animal ou o Departamento de Zoonoses, de posse das provas de agressão e da identificação do tutor, deverá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comunicar imediatamente a autoridade policial competente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a averiguação de possíveis infrações penais, como lesão corporal, omissão de cautela na guarda de animais, ou outras responsabilidades cabíveis.</w:t>
      </w:r>
    </w:p>
    <w:p w:rsidR="00000000" w:rsidRPr="00000000" w:rsidP="00000000" w14:paraId="00000015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Obrigatoriedade de Adestramento e Reabilitação: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tutor/proprietário será obrigado a submeter o cão a um programa de reabilitação e adestramento comportamental, a ser definido e supervisionado pelo órgão municipal competente, com custos arcados integralmente pelo tutor.</w:t>
      </w:r>
    </w:p>
    <w:p w:rsidR="00000000" w:rsidRPr="00000000" w:rsidP="00000000" w14:paraId="00000016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III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Recusa de Alvará de Soltura (Quarentena):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animal apreendido ou isolado só será liberado após o pagamento integral da multa, das custas de apreensão, alojamento, tratamento e avaliação comportamental, bem como a comprovação do início do programa de reabilitação comportamental.</w:t>
      </w:r>
    </w:p>
    <w:p w:rsidR="00000000" w:rsidRPr="00000000" w:rsidP="00000000" w14:paraId="00000017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casos de reincidência qualificada (terceira agressão ou agressão que resulte em lesão corporal gravíssima ou óbito), o Poder Público, mediante laudo técnico veterinário-comportamental, poderá iniciar processo de perda definitiva da guarda do animal, com seu encaminhamento a abrigo especializado para reabilitação ou outro recurso disposto na legislação.</w:t>
      </w:r>
    </w:p>
    <w:p w:rsidR="00000000" w:rsidRPr="00000000" w:rsidP="00000000" w14:paraId="00000018">
      <w:pPr>
        <w:pStyle w:val="Heading3"/>
        <w:spacing w:before="280" w:after="80" w:line="276" w:lineRule="auto"/>
        <w:jc w:val="both"/>
        <w:rPr>
          <w:rFonts w:ascii="Arial" w:eastAsia="Arial" w:hAnsi="Arial" w:cs="Arial"/>
          <w:sz w:val="26"/>
          <w:szCs w:val="26"/>
        </w:rPr>
      </w:pPr>
      <w:bookmarkStart w:id="2" w:name="_heading=h.8hafjss9i71" w:colFirst="0" w:colLast="0"/>
      <w:bookmarkEnd w:id="2"/>
      <w:r w:rsidRPr="00000000">
        <w:rPr>
          <w:rFonts w:ascii="Arial" w:eastAsia="Arial" w:hAnsi="Arial" w:cs="Arial"/>
          <w:sz w:val="26"/>
          <w:szCs w:val="26"/>
          <w:rtl w:val="0"/>
        </w:rPr>
        <w:t>Capítulo III – Da Fiscalização e Denúncia</w:t>
      </w:r>
    </w:p>
    <w:p w:rsidR="00000000" w:rsidRPr="00000000" w:rsidP="00000000" w14:paraId="0000001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Departamento de Bem-Estar Animal, o Departamento de Zoonoses, a Guarda Municipal e demais órgãos de fiscalização do Município são responsáveis pela fiscalização do cumprimento desta Lei.</w:t>
      </w:r>
    </w:p>
    <w:p w:rsidR="00000000" w:rsidRPr="00000000" w:rsidP="00000000" w14:paraId="0000001A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denúncias de agressão deverão ser registradas junto aos órgãos competentes, que deverão iniciar imediatamente o processo de apuração e autuação, assegurando o devido processo legal e o direito de defesa do tutor/proprietário.</w:t>
      </w:r>
    </w:p>
    <w:p w:rsidR="00000000" w:rsidRPr="00000000" w:rsidP="00000000" w14:paraId="0000001B">
      <w:pPr>
        <w:pStyle w:val="Heading3"/>
        <w:spacing w:before="280" w:after="80" w:line="276" w:lineRule="auto"/>
        <w:jc w:val="both"/>
        <w:rPr>
          <w:rFonts w:ascii="Arial" w:eastAsia="Arial" w:hAnsi="Arial" w:cs="Arial"/>
          <w:sz w:val="26"/>
          <w:szCs w:val="26"/>
        </w:rPr>
      </w:pPr>
      <w:bookmarkStart w:id="3" w:name="_heading=h.p1bi7j95tslk" w:colFirst="0" w:colLast="0"/>
      <w:bookmarkEnd w:id="3"/>
      <w:r w:rsidRPr="00000000">
        <w:rPr>
          <w:rFonts w:ascii="Arial" w:eastAsia="Arial" w:hAnsi="Arial" w:cs="Arial"/>
          <w:sz w:val="26"/>
          <w:szCs w:val="26"/>
          <w:rtl w:val="0"/>
        </w:rPr>
        <w:t>Capítulo IV – Das Disposições Finais</w:t>
      </w:r>
    </w:p>
    <w:p w:rsidR="00000000" w:rsidRPr="00000000" w:rsidP="00000000" w14:paraId="0000001C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Municipal regulamentará esta Lei no que couber, no prazo de 90 (noventa) dias, a contar da data de sua publicação.</w:t>
      </w:r>
    </w:p>
    <w:p w:rsidR="00000000" w:rsidRPr="00000000" w:rsidP="00000000" w14:paraId="0000001D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E">
      <w:pPr>
        <w:ind w:firstLine="708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</w:t>
      </w:r>
    </w:p>
    <w:p w:rsidR="00000000" w:rsidRPr="00000000" w:rsidP="00000000" w14:paraId="0000001F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br w:type="page"/>
      </w:r>
    </w:p>
    <w:p w:rsidR="00000000" w:rsidRPr="00000000" w:rsidP="00000000" w14:paraId="00000020">
      <w:pPr>
        <w:spacing w:line="276" w:lineRule="auto"/>
        <w:ind w:left="2835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spacing w:line="276" w:lineRule="auto"/>
        <w:ind w:left="2835" w:firstLine="0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JUSTIFICATIVA </w:t>
      </w:r>
    </w:p>
    <w:p w:rsidR="00000000" w:rsidRPr="00000000" w:rsidP="00000000" w14:paraId="00000022">
      <w:pPr>
        <w:spacing w:before="120"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Senhor presidente,</w:t>
      </w:r>
    </w:p>
    <w:p w:rsidR="00000000" w:rsidRPr="00000000" w:rsidP="00000000" w14:paraId="00000023">
      <w:pPr>
        <w:shd w:val="clear" w:color="auto" w:fill="FFFFFF"/>
        <w:spacing w:before="120"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Nobres vereadores,</w:t>
      </w:r>
    </w:p>
    <w:p w:rsidR="00000000" w:rsidRPr="00000000" w:rsidP="00000000" w14:paraId="00000024">
      <w:pPr>
        <w:spacing w:before="120"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before="120"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visa aprimorar a legislação municipal de Sumaré, especificamente no que tange à segurança pública e à posse responsável de cães da raça Pitbull e seus descendentes. Embora o município já possua a Lei Municipal nº 7.106/2023, que obriga o uso de focinheira em cães de médio e grande porte, é imperativo que haja uma responsabilização objetiva e punitiva ao tutor em casos de negligência que resultem em ataques.</w:t>
      </w:r>
    </w:p>
    <w:p w:rsidR="00000000" w:rsidRPr="00000000" w:rsidP="00000000" w14:paraId="00000027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crescente número de incidentes noticiados envolvendo essa raça, o Poder Público tem o dever de agir preventivamente e repressivamente. A medida proposta estabelece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multa administrativa de 1.600 UFMS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(dobrada em caso de reincidência) e lança diretamente no CPF do tutor identificado, tornando a penalidade efetiva e célere.</w:t>
      </w:r>
    </w:p>
    <w:p w:rsidR="00000000" w:rsidRPr="00000000" w:rsidP="00000000" w14:paraId="00000028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Além da multa, a obrigatoriedade de comunicação imediata à autoridade policial garante que o caso não se restrinja à esfera administrativa, mas também seja investigado quanto a possíveis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infrações penais</w:t>
      </w:r>
      <w:r w:rsidRPr="00000000">
        <w:rPr>
          <w:rFonts w:ascii="Arial" w:eastAsia="Arial" w:hAnsi="Arial" w:cs="Arial"/>
          <w:sz w:val="24"/>
          <w:szCs w:val="24"/>
          <w:rtl w:val="0"/>
        </w:rPr>
        <w:t>, como omissão de cautela ou lesão corporal. Por fim, a determinação de perda da guarda em casos graves e reincidentes protege a população e garante que o animal receba tratamento adequado.</w:t>
      </w:r>
    </w:p>
    <w:p w:rsidR="00000000" w:rsidRPr="00000000" w:rsidP="00000000" w14:paraId="00000029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Dessa forma, o projeto de lei promove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segurança da comunidade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fortalece a cultura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posse responsável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confere maior poder de fiscalização e sanção aos órgãos municipais competentes.</w:t>
      </w:r>
    </w:p>
    <w:p w:rsidR="00000000" w:rsidRPr="00000000" w:rsidP="00000000" w14:paraId="0000002A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relevância social e urgência da matéria, solicitamos a aprovação pelos nobres pares.</w:t>
      </w:r>
    </w:p>
    <w:p w:rsidR="00000000" w:rsidRPr="00000000" w:rsidP="00000000" w14:paraId="0000002B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C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03 de novembro de 2025</w:t>
      </w:r>
    </w:p>
    <w:p w:rsidR="00000000" w:rsidRPr="00000000" w:rsidP="00000000" w14:paraId="0000002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Alan Leal </w:t>
        <w:tab/>
        <w:t>Pereirinha</w:t>
        <w:tab/>
        <w:t>Wellington de Souza</w:t>
      </w:r>
    </w:p>
    <w:p w:rsidR="00000000" w:rsidRPr="00000000" w:rsidP="00000000" w14:paraId="000000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ind w:firstLine="708"/>
        <w:jc w:val="center"/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1CCDE7E-272F-41BB-94BE-3B1B6D494FEE}"/>
  </w:font>
  <w:font w:name="Times New Roman">
    <w:charset w:val="00"/>
    <w:family w:val="auto"/>
    <w:pitch w:val="default"/>
  </w:font>
  <w:font w:name="Georgia">
    <w:charset w:val="00"/>
    <w:family w:val="auto"/>
    <w:pitch w:val="default"/>
    <w:sig w:usb0="00000000" w:usb1="00000000" w:usb2="00000000" w:usb3="00000000" w:csb0="00000001" w:csb1="00000000"/>
    <w:embedRegular r:id="rId2" w:fontKey="{F62AFFA2-02B7-48C6-B577-E9C88B4F151A}"/>
  </w:font>
  <w:font w:name="Arial">
    <w:charset w:val="00"/>
    <w:family w:val="auto"/>
    <w:pitch w:val="default"/>
  </w:font>
  <w:font w:name="ArialMT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3" w:fontKey="{762DF7EF-63E2-4C12-A10A-77458BABCB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3">
    <w:bookmarkStart w:id="4" w:name="_heading=h.3znysh7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107950</wp:posOffset>
              </wp:positionV>
              <wp:extent cx="6249727" cy="25400"/>
              <wp:effectExtent l="0" t="0" r="0" b="0"/>
              <wp:wrapNone/>
              <wp:docPr id="173914441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107950</wp:posOffset>
              </wp:positionV>
              <wp:extent cx="6249727" cy="25400"/>
              <wp:effectExtent l="0" t="0" r="0" b="0"/>
              <wp:wrapNone/>
              <wp:docPr id="6407950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4349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1">
    <w:r w:rsidRPr="00000000">
      <w:drawing>
        <wp:inline distT="0" distB="0" distL="0" distR="0">
          <wp:extent cx="1526058" cy="534121"/>
          <wp:effectExtent l="0" t="0" r="0" b="0"/>
          <wp:docPr id="17391444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7780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914441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903810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910120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D33787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dr92YDAtY2cN7kzNFYJIVgJu2A==">CgMxLjAyDmguOGdwa2RzcnphanNiMg5oLjVpZnloMm11dDRkZjINaC44aGFmanNzOWk3MTIOaC5wMWJpN2o5NXRzbGsyCWguM3pueXNoNzgAciExM21PVVN6M01Yanl3aHhqTmxEbm5Gci1EU3RXYldlZ0o=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2025-01-16T19:55:00Z</dcterms:created>
</cp:coreProperties>
</file>