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parentalidade positiva, o direito ao brincar como estratégias intersetoriais de prevenção à violência contra crianças e adolescentes e cria a semana municipal do brincar.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julho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