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488/2025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 e reparcelamento de débitos do Município de Sumaré, com seu Regime Próprio de Previdência Social - RPPS, de que tratam os art. 115 e 117 do ato das disposições constitucionais  transitórias ADCT com a redação conferida pela Emenda constitucional nº 136, de 09 de setembro de 2025.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