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30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487/2025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487/2025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autorização ao executivo municipal para promover a abertura de credito adicional suplementar no orçamento vigente no valor de R$ 297.000,00 (duzentos e noventa e sete mil reais), para os fins que especifica e dá outras providencias.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