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487/2025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487/2025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ao executivo municipal para promover a abertura de credito adicional suplementar no orçamento vigente no valor de R$ 297.000,00 (duzentos e noventa e sete mil reais), para os fins que especifica e dá outras providencias.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