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486/2025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executivo municipal para promover a abertura de credito adicional especial no orçamento vigente no valor de R$ 594.000,00 (quinhentos e noventa e quatro mil reais)  para os fins que especifica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