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485/2025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promover a abertura de credito adicional suplementar no orçamento vigente no valor de R$ 27.360.331,16 (vinte e sete milhões, trezentos e sessenta mil, trezentos e trinta e um reais e dezesseis centavos), para os fins que especifica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