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que menciona da Lei Municipal nº 3.203, de 15 de setembro de 1998 com suas alterações,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