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no valor de R$ 594.00,00 (quinhentos e noventa e quatro mil reais) 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