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486/2025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especial no orçamento vigente no valor de R$ 594.00,00 (quinhentos e noventa e quatro mil reais) 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