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valor de R$ 233.145,00 (duzentos e trinta e três  mil e cento e quarenta e cinco reais), para os fins que especifica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