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C7729" w:rsidP="002C5BFB" w14:paraId="7C4A58B2" w14:textId="77777777">
      <w:pPr>
        <w:spacing w:line="240" w:lineRule="auto"/>
        <w:ind w:left="3540"/>
        <w:rPr>
          <w:sz w:val="32"/>
          <w:szCs w:val="32"/>
        </w:rPr>
      </w:pPr>
    </w:p>
    <w:p w:rsidR="002C7729" w:rsidP="002C5BFB" w14:paraId="7D3A4D2F" w14:textId="77777777">
      <w:pPr>
        <w:spacing w:line="240" w:lineRule="auto"/>
        <w:ind w:left="3540"/>
        <w:rPr>
          <w:sz w:val="32"/>
          <w:szCs w:val="32"/>
        </w:rPr>
      </w:pPr>
    </w:p>
    <w:p w:rsidR="002C5BFB" w:rsidRPr="002C7729" w:rsidP="002C5BFB" w14:paraId="2E7558E8" w14:textId="4B39A34B">
      <w:pPr>
        <w:spacing w:line="240" w:lineRule="auto"/>
        <w:ind w:left="3540"/>
        <w:rPr>
          <w:sz w:val="32"/>
          <w:szCs w:val="32"/>
        </w:rPr>
      </w:pPr>
      <w:r w:rsidRPr="002C7729">
        <w:rPr>
          <w:sz w:val="32"/>
          <w:szCs w:val="32"/>
        </w:rPr>
        <w:t xml:space="preserve">PPROJETO DE LEI      /2021 </w:t>
      </w:r>
    </w:p>
    <w:p w:rsidR="00B05140" w:rsidRPr="001B506D" w:rsidP="00B05140" w14:paraId="36D5CACF" w14:textId="73A071F2">
      <w:pPr>
        <w:shd w:val="clear" w:color="auto" w:fill="FFFFFF"/>
        <w:spacing w:before="300" w:after="300" w:line="300" w:lineRule="atLeast"/>
        <w:ind w:left="3000" w:right="300"/>
        <w:jc w:val="both"/>
        <w:outlineLvl w:val="0"/>
        <w:rPr>
          <w:rFonts w:eastAsia="Times New Roman" w:asciiTheme="majorHAnsi" w:hAnsiTheme="majorHAnsi" w:cstheme="majorHAnsi"/>
          <w:b/>
          <w:bCs/>
          <w:color w:val="333333"/>
          <w:kern w:val="36"/>
          <w:sz w:val="24"/>
          <w:szCs w:val="24"/>
          <w:lang w:eastAsia="pt-BR"/>
        </w:rPr>
      </w:pPr>
      <w:r w:rsidRPr="001B506D">
        <w:rPr>
          <w:rFonts w:eastAsia="Times New Roman" w:asciiTheme="majorHAnsi" w:hAnsiTheme="majorHAnsi" w:cstheme="majorHAnsi"/>
          <w:b/>
          <w:bCs/>
          <w:color w:val="333333"/>
          <w:kern w:val="36"/>
          <w:sz w:val="24"/>
          <w:szCs w:val="24"/>
          <w:lang w:eastAsia="pt-BR"/>
        </w:rPr>
        <w:t xml:space="preserve">Dispõe </w:t>
      </w:r>
      <w:r w:rsidRPr="001B506D" w:rsidR="002C7729">
        <w:rPr>
          <w:rFonts w:eastAsia="Times New Roman" w:asciiTheme="majorHAnsi" w:hAnsiTheme="majorHAnsi" w:cstheme="majorHAnsi"/>
          <w:b/>
          <w:bCs/>
          <w:color w:val="333333"/>
          <w:kern w:val="36"/>
          <w:sz w:val="24"/>
          <w:szCs w:val="24"/>
          <w:lang w:eastAsia="pt-BR"/>
        </w:rPr>
        <w:t xml:space="preserve">sobre </w:t>
      </w:r>
      <w:r w:rsidR="002C7729">
        <w:rPr>
          <w:rFonts w:eastAsia="Times New Roman" w:asciiTheme="majorHAnsi" w:hAnsiTheme="majorHAnsi" w:cstheme="majorHAnsi"/>
          <w:b/>
          <w:bCs/>
          <w:color w:val="333333"/>
          <w:kern w:val="36"/>
          <w:sz w:val="24"/>
          <w:szCs w:val="24"/>
          <w:lang w:eastAsia="pt-BR"/>
        </w:rPr>
        <w:t>o</w:t>
      </w:r>
      <w:r w:rsidRPr="001B506D">
        <w:rPr>
          <w:rFonts w:eastAsia="Times New Roman" w:asciiTheme="majorHAnsi" w:hAnsiTheme="majorHAnsi" w:cstheme="majorHAnsi"/>
          <w:b/>
          <w:bCs/>
          <w:color w:val="333333"/>
          <w:kern w:val="36"/>
          <w:sz w:val="24"/>
          <w:szCs w:val="24"/>
          <w:lang w:eastAsia="pt-BR"/>
        </w:rPr>
        <w:t xml:space="preserve"> Programa de Acompanhamento Integral dos estudantes com Dislexia, Transtorno do Déficit de Atenção com Hiperatividade (TDAH) e demais transtornos de aprendizagem, déficits visuais e auditivos da rede municipal de ensino, e dá outras providências.</w:t>
      </w:r>
    </w:p>
    <w:p w:rsidR="00B05140" w:rsidRPr="00B05140" w:rsidP="00B05140" w14:paraId="42D23580" w14:textId="395F239C">
      <w:pPr>
        <w:rPr>
          <w:rFonts w:eastAsia="Times New Roman" w:asciiTheme="majorHAnsi" w:hAnsiTheme="majorHAnsi" w:cstheme="majorHAnsi"/>
          <w:color w:val="333333"/>
          <w:sz w:val="24"/>
          <w:szCs w:val="24"/>
          <w:shd w:val="clear" w:color="auto" w:fill="FFFFFF"/>
          <w:lang w:eastAsia="pt-BR"/>
        </w:rPr>
      </w:pPr>
      <w:r w:rsidRPr="00B05140">
        <w:rPr>
          <w:rFonts w:eastAsia="Times New Roman" w:asciiTheme="majorHAnsi" w:hAnsiTheme="majorHAnsi" w:cstheme="majorHAnsi"/>
          <w:color w:val="333333"/>
          <w:sz w:val="24"/>
          <w:szCs w:val="24"/>
          <w:shd w:val="clear" w:color="auto" w:fill="FFFFFF"/>
          <w:lang w:eastAsia="pt-BR"/>
        </w:rPr>
        <w:t>Faz-se saber que a Câmara Municipal de Sumaré aprovou e eu promulgo a seguinte Lei:</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 xml:space="preserve">º 1 Fica </w:t>
      </w:r>
      <w:r w:rsidR="002C7729">
        <w:rPr>
          <w:rFonts w:eastAsia="Times New Roman" w:asciiTheme="majorHAnsi" w:hAnsiTheme="majorHAnsi" w:cstheme="majorHAnsi"/>
          <w:color w:val="333333"/>
          <w:sz w:val="24"/>
          <w:szCs w:val="24"/>
          <w:shd w:val="clear" w:color="auto" w:fill="FFFFFF"/>
          <w:lang w:eastAsia="pt-BR"/>
        </w:rPr>
        <w:t>autorizado</w:t>
      </w:r>
      <w:r w:rsidRPr="00B05140">
        <w:rPr>
          <w:rFonts w:eastAsia="Times New Roman" w:asciiTheme="majorHAnsi" w:hAnsiTheme="majorHAnsi" w:cstheme="majorHAnsi"/>
          <w:color w:val="333333"/>
          <w:sz w:val="24"/>
          <w:szCs w:val="24"/>
          <w:shd w:val="clear" w:color="auto" w:fill="FFFFFF"/>
          <w:lang w:eastAsia="pt-BR"/>
        </w:rPr>
        <w:t xml:space="preserve"> no Município de Sumaré o Programa de Acompanhamento Integral dos estudantes portadores de Dislexia, Transtorno do Déficit de Atenção com Hiperatividade (TDAH) e demais transtornos de aprendizagem, déficits visuais e auditivos.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O Programa de Acompanhamento Integral de que trata o "caput" compreende a identificação precoce, o encaminhamento para diagnóstico, o apoio educacional na rede de ensino, o apoio especializado na rede de assistência social, bem como o apoio terapêutico especializado na rede de saúde.</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2 As unidades escolares da rede pública e privada de ensino, com o apoio da família e dos serviços de saúde e assistência social existentes devem garantir o cuidado e a proteção ao educando com Dislexia, com Transtorno do Déficit de Atenção com Hiperatividade (TDAH) e demais transtornos de aprendizagem, bem como com déficits visuais e auditivos, visando ao seu pleno desenvolvimento físico, mental, moral, espiritual e social, contando com as redes de proteção social existentes no Município, de natureza governamental ou não governamental.</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3 Os educandos com Dislexia, Transtorno do Déficit de Atenção com Hiperatividade (TDAH) e demais transtornos de aprendizagem, bem como com déficits visuais e auditivos da rede municipal de ensino que apresentam alterações no desenvolvimento da leitura e da escrita ou instabilidade na atenção, que repercutam na aprendizagem devem ter assegurado o acompanhamento específico voltado à sua dificuldade, da forma mais precoce possível, pelos seus educadores no âmbito da própria escola na qual estão matriculados, podendo contar com apoio e orientação da área de saúde, da assistência social e de outras políticas públicas existentes no município.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Caso seja verificada a necessidade de intervenção terapêutica, esta deverá ser estabelecida em caráter prioritário em um serviço de saúde</w:t>
      </w:r>
      <w:r w:rsidR="002C7729">
        <w:rPr>
          <w:rFonts w:eastAsia="Times New Roman" w:asciiTheme="majorHAnsi" w:hAnsiTheme="majorHAnsi" w:cstheme="majorHAnsi"/>
          <w:color w:val="333333"/>
          <w:sz w:val="24"/>
          <w:szCs w:val="24"/>
          <w:shd w:val="clear" w:color="auto" w:fill="FFFFFF"/>
          <w:lang w:eastAsia="pt-BR"/>
        </w:rPr>
        <w:t xml:space="preserve"> já incluso no sistema de saúde do município ,</w:t>
      </w:r>
      <w:r w:rsidRPr="00B05140">
        <w:rPr>
          <w:rFonts w:eastAsia="Times New Roman" w:asciiTheme="majorHAnsi" w:hAnsiTheme="majorHAnsi" w:cstheme="majorHAnsi"/>
          <w:color w:val="333333"/>
          <w:sz w:val="24"/>
          <w:szCs w:val="24"/>
          <w:shd w:val="clear" w:color="auto" w:fill="FFFFFF"/>
          <w:lang w:eastAsia="pt-BR"/>
        </w:rPr>
        <w:t xml:space="preserve"> que apresente a possibilidade de avaliação diagnóstica</w:t>
      </w:r>
      <w:r w:rsidR="002C7729">
        <w:rPr>
          <w:rFonts w:eastAsia="Times New Roman" w:asciiTheme="majorHAnsi" w:hAnsiTheme="majorHAnsi" w:cstheme="majorHAnsi"/>
          <w:color w:val="333333"/>
          <w:sz w:val="24"/>
          <w:szCs w:val="24"/>
          <w:shd w:val="clear" w:color="auto" w:fill="FFFFFF"/>
          <w:lang w:eastAsia="pt-BR"/>
        </w:rPr>
        <w:t xml:space="preserve"> </w:t>
      </w:r>
      <w:r w:rsidRPr="00B05140">
        <w:rPr>
          <w:rFonts w:eastAsia="Times New Roman" w:asciiTheme="majorHAnsi" w:hAnsiTheme="majorHAnsi" w:cstheme="majorHAnsi"/>
          <w:color w:val="333333"/>
          <w:sz w:val="24"/>
          <w:szCs w:val="24"/>
          <w:shd w:val="clear" w:color="auto" w:fill="FFFFFF"/>
          <w:lang w:eastAsia="pt-BR"/>
        </w:rPr>
        <w:t xml:space="preserve">, </w:t>
      </w:r>
      <w:r w:rsidRPr="00B05140">
        <w:rPr>
          <w:rFonts w:eastAsia="Times New Roman" w:asciiTheme="majorHAnsi" w:hAnsiTheme="majorHAnsi" w:cstheme="majorHAnsi"/>
          <w:color w:val="333333"/>
          <w:sz w:val="24"/>
          <w:szCs w:val="24"/>
          <w:shd w:val="clear" w:color="auto" w:fill="FFFFFF"/>
          <w:lang w:eastAsia="pt-BR"/>
        </w:rPr>
        <w:t>com metas de acompanhamento por equipe multidisciplinar composta por profissionais necessários ao desempenho dessa abordagem.</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4 No âmbito do programa estabelecido no artigo 1º desta Lei, o órgão competente da municipalidade deverá garantir aos educadores e aos profissionais da rede municipal de ensino o amplo acesso à informação, inclusive com relação aos encaminhamentos possíveis para atendimento multissetorial e à formação continuada, objetivando capacitá-los para a identificação precoce dos sinais relacionados à dislexia, ao Transtorno do Déficit de Atenção com Hiperatividade (TDAH), aos demais transtornos de aprendizagem, bem como aos déficits visuais e auditivos, além do atendimento educacional escolar desses educandos.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5 As unidades escolares constantes do art. 2º dessa Lei deverão prover, na organização de suas classes, flexibilizações e adaptações curriculares que considerem o significado prático e instrumental dos conteúdos básicos, metodologias de ensino, recursos didáticos diferenciados e processos de avaliação adequados ao desenvolvimento dos alunos que apresentam necessidades educacionais especiais, em consonância com o projeto pedagógico da escola, respeitada a frequência obrigatória.</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Deverão as unidades escolares dispostas no art. 2º dessa lei promover formação continuada sobre os temas relacionados à escolarização de pessoas que apresentarem as condições de saúde de que trata esta Lei, para que o profissional docente e o corpo técnico-pedagógico tenham maior compreensão acerca das questões pertinentes às adaptações e flexibilizações curriculares, metodologias, recursos didáticos e processos avaliativos.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6 É direito dos educandos com Dislexia, Transtorno do Déficit de Atenção com Hiperatividade (TDAH) e demais transtornos de aprendizagem, bem como com déficits visuais e auditivos, que apresentem alterações no desenvolvimento da leitura e da escrita, ou instabilidade na atenção, que repercutam na aprendizagem ter assegurado no âmbito da própria escola na qual estão matriculados a:</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I - Disponibilização, em suas respectivas salas de aula, de assentos na primeira fila, assegurando seu posicionamento afastado de janelas, cartazes e outros elementos, possíveis potenciais de distração;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II - Permissão para usar equipamentos de informática e softwares educacionais como instrumento facilitador da construção do conhecimento;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III - Realização de atividades de avaliação e provas durante o ano letivo, em local diferenciado, com o auxílio preferencialmente do Professor Especializado e com maior tempo para a sua realização.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Para o atendimento do previsto nessa Lei, será necessária a apresentação, por parte dos pais ou responsáveis pelo aluno, de laudo médico comprovante de dislexia, com Transtorno do Déficit de Atenção com Hiperatividade (TDAH), demais transtornos de aprendizagem, bem como, com déficits visuais e auditivos, emitido por médico especialista em neurologia ou psiquiatria.</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7 Fica instituída na rede municipal de Sumaré  "Campanha de Informação e Conscientização sobre os Transtornos de Aprendizagem", a ser realizada, anualmente, no primeiro semestre do ano letivo.</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Parágrafo único. Durante a realização da campanha de que trata o "caput" devem ser desenvolvidas ações educativas, de conscientização e de esclarecimento sobre os transtornos de aprendizagem.</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 xml:space="preserve">º 8 O Poder Executivo regulamentará o disposto nesta Lei, no </w:t>
      </w:r>
      <w:r w:rsidR="002C7729">
        <w:rPr>
          <w:rFonts w:eastAsia="Times New Roman" w:asciiTheme="majorHAnsi" w:hAnsiTheme="majorHAnsi" w:cstheme="majorHAnsi"/>
          <w:color w:val="333333"/>
          <w:sz w:val="24"/>
          <w:szCs w:val="24"/>
          <w:shd w:val="clear" w:color="auto" w:fill="FFFFFF"/>
          <w:lang w:eastAsia="pt-BR"/>
        </w:rPr>
        <w:t>prazo de 90 dias,</w:t>
      </w:r>
      <w:r w:rsidRPr="00B05140">
        <w:rPr>
          <w:rFonts w:eastAsia="Times New Roman" w:asciiTheme="majorHAnsi" w:hAnsiTheme="majorHAnsi" w:cstheme="majorHAnsi"/>
          <w:color w:val="333333"/>
          <w:sz w:val="24"/>
          <w:szCs w:val="24"/>
          <w:shd w:val="clear" w:color="auto" w:fill="FFFFFF"/>
          <w:lang w:eastAsia="pt-BR"/>
        </w:rPr>
        <w:t xml:space="preserve"> </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9 As despesas decorrentes da execução dessa Lei correrão por conta de dotações orçamentárias próprias.</w:t>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lang w:eastAsia="pt-BR"/>
        </w:rPr>
        <w:br/>
      </w:r>
      <w:r w:rsidRPr="00B05140">
        <w:rPr>
          <w:rFonts w:eastAsia="Times New Roman" w:asciiTheme="majorHAnsi" w:hAnsiTheme="majorHAnsi" w:cstheme="majorHAnsi"/>
          <w:color w:val="333333"/>
          <w:sz w:val="24"/>
          <w:szCs w:val="24"/>
          <w:shd w:val="clear" w:color="auto" w:fill="FFFFFF"/>
          <w:lang w:eastAsia="pt-BR"/>
        </w:rPr>
        <w:t>Art</w:t>
      </w:r>
      <w:r w:rsidRPr="00B05140">
        <w:rPr>
          <w:rFonts w:eastAsia="Times New Roman" w:asciiTheme="majorHAnsi" w:hAnsiTheme="majorHAnsi" w:cstheme="majorHAnsi"/>
          <w:color w:val="333333"/>
          <w:sz w:val="24"/>
          <w:szCs w:val="24"/>
          <w:shd w:val="clear" w:color="auto" w:fill="FFFFFF"/>
          <w:lang w:eastAsia="pt-BR"/>
        </w:rPr>
        <w:t>º 10 Esta Lei entra em vigor na data da sua publicação.</w:t>
      </w:r>
    </w:p>
    <w:p w:rsidR="00B05140" w:rsidRPr="00B05140" w:rsidP="00B05140" w14:paraId="20CAB5F1" w14:textId="1CA9114F">
      <w:pPr>
        <w:rPr>
          <w:rFonts w:asciiTheme="majorHAnsi" w:hAnsiTheme="majorHAnsi" w:cstheme="majorHAnsi"/>
        </w:rPr>
      </w:pPr>
      <w:r w:rsidRPr="00B05140">
        <w:rPr>
          <w:rFonts w:asciiTheme="majorHAnsi" w:hAnsiTheme="majorHAnsi" w:cstheme="majorHAnsi"/>
        </w:rPr>
        <w:t xml:space="preserve">Sala das Sessões </w:t>
      </w:r>
      <w:r>
        <w:rPr>
          <w:rFonts w:asciiTheme="majorHAnsi" w:hAnsiTheme="majorHAnsi" w:cstheme="majorHAnsi"/>
        </w:rPr>
        <w:t>16</w:t>
      </w:r>
      <w:r w:rsidRPr="00B05140">
        <w:rPr>
          <w:rFonts w:asciiTheme="majorHAnsi" w:hAnsiTheme="majorHAnsi" w:cstheme="majorHAnsi"/>
        </w:rPr>
        <w:t xml:space="preserve"> de </w:t>
      </w:r>
      <w:r w:rsidRPr="00B05140">
        <w:rPr>
          <w:rFonts w:asciiTheme="majorHAnsi" w:hAnsiTheme="majorHAnsi" w:cstheme="majorHAnsi"/>
        </w:rPr>
        <w:t>Fevereiro  de</w:t>
      </w:r>
      <w:r w:rsidRPr="00B05140">
        <w:rPr>
          <w:rFonts w:asciiTheme="majorHAnsi" w:hAnsiTheme="majorHAnsi" w:cstheme="majorHAnsi"/>
        </w:rPr>
        <w:t xml:space="preserve"> 2021</w:t>
      </w:r>
    </w:p>
    <w:p w:rsidR="00B05140" w:rsidRPr="001B506D" w:rsidP="00B05140" w14:paraId="37786515" w14:textId="77777777">
      <w:pPr>
        <w:rPr>
          <w:rFonts w:cstheme="minorHAnsi"/>
          <w:sz w:val="24"/>
          <w:szCs w:val="24"/>
        </w:rPr>
      </w:pPr>
    </w:p>
    <w:p w:rsidR="002C5BFB" w:rsidP="002C5BFB" w14:paraId="2BBA2572" w14:textId="04AE85E8">
      <w:pPr>
        <w:rPr>
          <w:rFonts w:asciiTheme="majorHAnsi" w:hAnsiTheme="majorHAnsi" w:cstheme="majorHAnsi"/>
        </w:rPr>
      </w:pPr>
      <w:r>
        <w:rPr>
          <w:noProof/>
        </w:rPr>
        <w:drawing>
          <wp:anchor distT="0" distB="0" distL="114300" distR="114300" simplePos="0" relativeHeight="251659264" behindDoc="1" locked="0" layoutInCell="1" allowOverlap="1">
            <wp:simplePos x="0" y="0"/>
            <wp:positionH relativeFrom="column">
              <wp:posOffset>1605915</wp:posOffset>
            </wp:positionH>
            <wp:positionV relativeFrom="paragraph">
              <wp:posOffset>162560</wp:posOffset>
            </wp:positionV>
            <wp:extent cx="2139950" cy="164147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70674" name="Imagem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9950" cy="1641475"/>
                    </a:xfrm>
                    <a:prstGeom prst="rect">
                      <a:avLst/>
                    </a:prstGeom>
                    <a:noFill/>
                  </pic:spPr>
                </pic:pic>
              </a:graphicData>
            </a:graphic>
            <wp14:sizeRelH relativeFrom="page">
              <wp14:pctWidth>0</wp14:pctWidth>
            </wp14:sizeRelH>
            <wp14:sizeRelV relativeFrom="page">
              <wp14:pctHeight>0</wp14:pctHeight>
            </wp14:sizeRelV>
          </wp:anchor>
        </w:drawing>
      </w:r>
    </w:p>
    <w:p w:rsidR="002C5BFB" w:rsidP="002C5BFB" w14:paraId="1F3B4F66" w14:textId="77777777">
      <w:pPr>
        <w:rPr>
          <w:rFonts w:asciiTheme="majorHAnsi" w:hAnsiTheme="majorHAnsi" w:cstheme="majorHAnsi"/>
        </w:rPr>
      </w:pPr>
    </w:p>
    <w:p w:rsidR="002C5BFB" w:rsidP="002C5BFB" w14:paraId="4161AC62" w14:textId="77777777">
      <w:pPr>
        <w:spacing w:line="240" w:lineRule="auto"/>
      </w:pPr>
    </w:p>
    <w:p w:rsidR="002C5BFB" w:rsidP="002C5BFB" w14:paraId="5B1F0B82" w14:textId="77777777">
      <w:pPr>
        <w:spacing w:line="240" w:lineRule="auto"/>
      </w:pPr>
    </w:p>
    <w:p w:rsidR="002C5BFB" w:rsidP="002C5BFB" w14:paraId="5109673F" w14:textId="77777777">
      <w:pPr>
        <w:spacing w:line="240" w:lineRule="auto"/>
      </w:pPr>
    </w:p>
    <w:p w:rsidR="002C5BFB" w:rsidP="002C5BFB" w14:paraId="70CAC0BD" w14:textId="77777777">
      <w:pPr>
        <w:spacing w:line="240" w:lineRule="auto"/>
      </w:pPr>
    </w:p>
    <w:p w:rsidR="002C5BFB" w:rsidP="002C5BFB" w14:paraId="2D50FF3C" w14:textId="77777777">
      <w:pPr>
        <w:spacing w:line="240" w:lineRule="auto"/>
      </w:pPr>
    </w:p>
    <w:p w:rsidR="002C5BFB" w:rsidP="002C5BFB" w14:paraId="175C5BEB" w14:textId="7E6E1191">
      <w:pPr>
        <w:spacing w:line="240" w:lineRule="auto"/>
      </w:pPr>
    </w:p>
    <w:p w:rsidR="00B05140" w:rsidP="002C5BFB" w14:paraId="5FA4DF09" w14:textId="530D43BF">
      <w:pPr>
        <w:spacing w:line="240" w:lineRule="auto"/>
      </w:pPr>
    </w:p>
    <w:p w:rsidR="00B05140" w:rsidP="002C5BFB" w14:paraId="3EECCA4F" w14:textId="1D19FCF6">
      <w:pPr>
        <w:spacing w:line="240" w:lineRule="auto"/>
      </w:pPr>
    </w:p>
    <w:p w:rsidR="00B05140" w:rsidP="002C5BFB" w14:paraId="090A2F0E" w14:textId="66BBDCB6">
      <w:pPr>
        <w:spacing w:line="240" w:lineRule="auto"/>
      </w:pPr>
    </w:p>
    <w:p w:rsidR="00B05140" w:rsidP="002C5BFB" w14:paraId="500F2DE6" w14:textId="7160AD17">
      <w:pPr>
        <w:spacing w:line="240" w:lineRule="auto"/>
      </w:pPr>
    </w:p>
    <w:p w:rsidR="00B05140" w:rsidP="002C5BFB" w14:paraId="24DD31B6" w14:textId="54C8CB63">
      <w:pPr>
        <w:spacing w:line="240" w:lineRule="auto"/>
      </w:pPr>
    </w:p>
    <w:p w:rsidR="00B05140" w:rsidP="002C5BFB" w14:paraId="362F7E9D" w14:textId="57192B38">
      <w:pPr>
        <w:spacing w:line="240" w:lineRule="auto"/>
      </w:pPr>
    </w:p>
    <w:p w:rsidR="002C5BFB" w:rsidP="002C5BFB" w14:paraId="320C0A58" w14:textId="77777777">
      <w:pPr>
        <w:spacing w:line="240" w:lineRule="auto"/>
        <w:jc w:val="center"/>
        <w:rPr>
          <w:sz w:val="44"/>
          <w:szCs w:val="44"/>
        </w:rPr>
      </w:pPr>
      <w:r>
        <w:rPr>
          <w:sz w:val="44"/>
          <w:szCs w:val="44"/>
        </w:rPr>
        <w:t>JUSTIFICATIVA</w:t>
      </w:r>
    </w:p>
    <w:p w:rsidR="002C5BFB" w:rsidP="002C5BFB" w14:paraId="12F592B6" w14:textId="77777777">
      <w:pPr>
        <w:spacing w:line="240" w:lineRule="auto"/>
        <w:jc w:val="center"/>
        <w:rPr>
          <w:sz w:val="44"/>
          <w:szCs w:val="44"/>
        </w:rPr>
      </w:pPr>
    </w:p>
    <w:p w:rsidR="002C5BFB" w:rsidRPr="00B05140" w:rsidP="002C5BFB" w14:paraId="720A0131" w14:textId="430C6F6E">
      <w:pPr>
        <w:spacing w:line="240" w:lineRule="auto"/>
        <w:rPr>
          <w:rFonts w:asciiTheme="majorHAnsi" w:hAnsiTheme="majorHAnsi" w:cstheme="majorHAnsi"/>
        </w:rPr>
      </w:pPr>
      <w:r w:rsidRPr="00B05140">
        <w:rPr>
          <w:rFonts w:asciiTheme="majorHAnsi" w:hAnsiTheme="majorHAnsi" w:cstheme="majorHAnsi"/>
        </w:rPr>
        <w:t xml:space="preserve">O propósito do Projeto de Lei em tela é fazer com que o Município de </w:t>
      </w:r>
      <w:r w:rsidRPr="00B05140" w:rsidR="002C7729">
        <w:rPr>
          <w:rFonts w:asciiTheme="majorHAnsi" w:hAnsiTheme="majorHAnsi" w:cstheme="majorHAnsi"/>
        </w:rPr>
        <w:t>Sumaré,</w:t>
      </w:r>
      <w:r w:rsidRPr="00B05140">
        <w:rPr>
          <w:rFonts w:asciiTheme="majorHAnsi" w:hAnsiTheme="majorHAnsi" w:cstheme="majorHAnsi"/>
        </w:rPr>
        <w:t xml:space="preserve"> por meio de ações multidisciplinares de Saúde e Educação possa promover a capacitação e aprimoramento de profissionais que militem com pessoas que apresentam a Síndrome e estimule a integração de crianças e adolescentes autistas ao Ensino Regular.</w:t>
      </w:r>
    </w:p>
    <w:p w:rsidR="002C5BFB" w:rsidRPr="00B05140" w:rsidP="002C5BFB" w14:paraId="04DCB408" w14:textId="77777777">
      <w:pPr>
        <w:spacing w:line="240" w:lineRule="auto"/>
        <w:rPr>
          <w:rFonts w:asciiTheme="majorHAnsi" w:hAnsiTheme="majorHAnsi" w:cstheme="majorHAnsi"/>
        </w:rPr>
      </w:pPr>
      <w:r w:rsidRPr="00B05140">
        <w:rPr>
          <w:rFonts w:asciiTheme="majorHAnsi" w:hAnsiTheme="majorHAnsi" w:cstheme="majorHAnsi"/>
        </w:rPr>
        <w:t xml:space="preserve">Baseados no que preceitua a Lei 12.764 de 2012 que institui a Política Nacional de Proteção dos Direitos da Pessoa com Transtorno do Espectro Autista em todo o país, que assegura aos autistas os benefícios concedidos a todas as pessoas com deficiência, ressaltando o dever dos órgãos públicos de fazer com que a lei seja aplicada de forma satisfatória, com profissionais habilitados a fim de diagnosticar, preparar, descobrir o potencial e inseri-lo na sociedade, determina ainda, como dever legal, o incentivo </w:t>
      </w:r>
      <w:r w:rsidRPr="00B05140">
        <w:rPr>
          <w:rFonts w:asciiTheme="majorHAnsi" w:hAnsiTheme="majorHAnsi" w:cstheme="majorHAnsi"/>
        </w:rPr>
        <w:t>á</w:t>
      </w:r>
      <w:r w:rsidRPr="00B05140">
        <w:rPr>
          <w:rFonts w:asciiTheme="majorHAnsi" w:hAnsiTheme="majorHAnsi" w:cstheme="majorHAnsi"/>
        </w:rPr>
        <w:t xml:space="preserve"> formação e a capacitação de profissionais especializados no atendimento a pessoa com transtorno de espectro autista.</w:t>
      </w:r>
    </w:p>
    <w:p w:rsidR="002C5BFB" w:rsidRPr="00B05140" w:rsidP="002C5BFB" w14:paraId="49654DC4" w14:textId="65942AE2">
      <w:pPr>
        <w:spacing w:line="240" w:lineRule="auto"/>
        <w:rPr>
          <w:rFonts w:asciiTheme="majorHAnsi" w:hAnsiTheme="majorHAnsi" w:cstheme="majorHAnsi"/>
        </w:rPr>
      </w:pPr>
      <w:r w:rsidRPr="00B05140">
        <w:rPr>
          <w:rFonts w:asciiTheme="majorHAnsi" w:hAnsiTheme="majorHAnsi" w:cstheme="majorHAnsi"/>
        </w:rPr>
        <w:t>Urge a necessidade de capacitação dos profissionais de Educação para proporcionar real inclusão escolar dos autistas ou dos diagnósticos dentro do TEA, visto que muitos educadores resistem ao trabalho com crianças e adolescentes que apresentem o transtorno por ignorar como lidar com as diversas manifestações da síndrome.</w:t>
      </w:r>
    </w:p>
    <w:p w:rsidR="00B05140" w:rsidRPr="00B05140" w:rsidP="002C5BFB" w14:paraId="6C84444C" w14:textId="5F58253F">
      <w:pPr>
        <w:spacing w:line="240" w:lineRule="auto"/>
        <w:rPr>
          <w:rFonts w:asciiTheme="majorHAnsi" w:hAnsiTheme="majorHAnsi" w:cstheme="majorHAnsi"/>
        </w:rPr>
      </w:pPr>
      <w:hyperlink r:id="rId5" w:history="1">
        <w:r w:rsidRPr="00B05140">
          <w:rPr>
            <w:rStyle w:val="Hyperlink"/>
            <w:rFonts w:asciiTheme="majorHAnsi" w:hAnsiTheme="majorHAnsi" w:cstheme="majorHAnsi"/>
            <w:color w:val="auto"/>
            <w:sz w:val="20"/>
            <w:u w:val="none"/>
          </w:rPr>
          <w:t>LEI Nº 13.146, DE 6 DE JULHO DE 2015.</w:t>
        </w:r>
      </w:hyperlink>
      <w:r w:rsidRPr="00B05140">
        <w:rPr>
          <w:rStyle w:val="Strong"/>
          <w:rFonts w:asciiTheme="majorHAnsi" w:hAnsiTheme="majorHAnsi" w:cstheme="majorHAnsi"/>
          <w:b w:val="0"/>
          <w:bCs w:val="0"/>
          <w:sz w:val="20"/>
        </w:rPr>
        <w:t xml:space="preserve"> </w:t>
      </w:r>
      <w:r w:rsidRPr="00B05140">
        <w:rPr>
          <w:rFonts w:asciiTheme="majorHAnsi" w:hAnsiTheme="majorHAnsi" w:cstheme="majorHAnsi"/>
        </w:rPr>
        <w:t>Institui a Lei Brasileira de Inclusão da Pessoa com Deficiência (Estatuto da Pessoa com Deficiência).</w:t>
      </w:r>
    </w:p>
    <w:p w:rsidR="00B05140" w:rsidRPr="00B05140" w:rsidP="002C5BFB" w14:paraId="644BA0CB" w14:textId="43AFBD44">
      <w:pPr>
        <w:spacing w:line="240" w:lineRule="auto"/>
        <w:rPr>
          <w:rFonts w:asciiTheme="majorHAnsi" w:hAnsiTheme="majorHAnsi" w:cstheme="majorHAnsi"/>
        </w:rPr>
      </w:pPr>
      <w:r w:rsidRPr="00B05140">
        <w:rPr>
          <w:rFonts w:asciiTheme="majorHAnsi" w:hAnsiTheme="majorHAnsi" w:cstheme="majorHAnsi"/>
        </w:rPr>
        <w:t>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w:t>
      </w:r>
    </w:p>
    <w:p w:rsidR="002C5BFB" w:rsidRPr="00B05140" w:rsidP="002C5BFB" w14:paraId="4E652C1F" w14:textId="0138AE20">
      <w:pPr>
        <w:spacing w:line="240" w:lineRule="auto"/>
        <w:rPr>
          <w:rFonts w:asciiTheme="majorHAnsi" w:hAnsiTheme="majorHAnsi" w:cstheme="majorHAnsi"/>
        </w:rPr>
      </w:pPr>
      <w:r w:rsidRPr="00B05140">
        <w:rPr>
          <w:rFonts w:asciiTheme="majorHAnsi" w:hAnsiTheme="majorHAnsi" w:cstheme="majorHAnsi"/>
        </w:rPr>
        <w:t xml:space="preserve">A inclusão da pessoa com </w:t>
      </w:r>
      <w:r w:rsidRPr="00B05140" w:rsidR="00B05140">
        <w:rPr>
          <w:rFonts w:asciiTheme="majorHAnsi" w:hAnsiTheme="majorHAnsi" w:cstheme="majorHAnsi"/>
        </w:rPr>
        <w:t>deficiência não</w:t>
      </w:r>
      <w:r w:rsidRPr="00B05140">
        <w:rPr>
          <w:rFonts w:asciiTheme="majorHAnsi" w:hAnsiTheme="majorHAnsi" w:cstheme="majorHAnsi"/>
        </w:rPr>
        <w:t xml:space="preserve"> se estanca com a chegada dele na escola. Necessário se faz garantir sua permanência e aprendizagem; lamentável dizer que a escola regular não é feita para todos.</w:t>
      </w:r>
    </w:p>
    <w:p w:rsidR="002C5BFB" w:rsidRPr="00B05140" w:rsidP="002C5BFB" w14:paraId="1A5A8BE3" w14:textId="0A7DA9DF">
      <w:pPr>
        <w:spacing w:line="240" w:lineRule="auto"/>
        <w:rPr>
          <w:rFonts w:asciiTheme="majorHAnsi" w:hAnsiTheme="majorHAnsi" w:cstheme="majorHAnsi"/>
        </w:rPr>
      </w:pPr>
      <w:r w:rsidRPr="00B05140">
        <w:rPr>
          <w:rFonts w:asciiTheme="majorHAnsi" w:hAnsiTheme="majorHAnsi" w:cstheme="majorHAnsi"/>
        </w:rPr>
        <w:t>Ressaltamos que esta propositura não visa a segregação e sim a inclusão das pessoas com autismo na escola e na sociedade, objetivando minimizar o sofrimento das famílias que ficam sem amparo e direcionamento para enfrentar uma situação tão complexa.</w:t>
      </w:r>
    </w:p>
    <w:p w:rsidR="002C5BFB" w:rsidRPr="00B05140" w:rsidP="002C5BFB" w14:paraId="1EB54927" w14:textId="1C9731B2">
      <w:pPr>
        <w:spacing w:line="240" w:lineRule="auto"/>
        <w:rPr>
          <w:rFonts w:asciiTheme="majorHAnsi" w:hAnsiTheme="majorHAnsi" w:cstheme="majorHAnsi"/>
        </w:rPr>
      </w:pPr>
      <w:r w:rsidRPr="00B05140">
        <w:rPr>
          <w:rFonts w:asciiTheme="majorHAnsi" w:hAnsiTheme="majorHAnsi" w:cstheme="majorHAnsi"/>
        </w:rPr>
        <w:t>Diante do relevante alcance social da matéria pedimos a compreensão dos Nobres Pares para a apreciação e aprovação da matéria.</w:t>
      </w:r>
    </w:p>
    <w:p w:rsidR="002C5BFB" w:rsidRPr="00B05140" w:rsidP="002C5BFB" w14:paraId="2BC40DCC" w14:textId="0554ADAB">
      <w:pPr>
        <w:spacing w:line="240" w:lineRule="auto"/>
        <w:rPr>
          <w:rFonts w:asciiTheme="majorHAnsi" w:hAnsiTheme="majorHAnsi" w:cstheme="majorHAnsi"/>
        </w:rPr>
      </w:pPr>
      <w:r w:rsidRPr="00B05140">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2633345</wp:posOffset>
            </wp:positionH>
            <wp:positionV relativeFrom="paragraph">
              <wp:posOffset>63256</wp:posOffset>
            </wp:positionV>
            <wp:extent cx="1419225" cy="1088634"/>
            <wp:effectExtent l="0" t="0" r="0" b="0"/>
            <wp:wrapNone/>
            <wp:docPr id="172190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30812" name="Imagem 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19225" cy="1088634"/>
                    </a:xfrm>
                    <a:prstGeom prst="rect">
                      <a:avLst/>
                    </a:prstGeom>
                    <a:noFill/>
                  </pic:spPr>
                </pic:pic>
              </a:graphicData>
            </a:graphic>
            <wp14:sizeRelH relativeFrom="page">
              <wp14:pctWidth>0</wp14:pctWidth>
            </wp14:sizeRelH>
            <wp14:sizeRelV relativeFrom="page">
              <wp14:pctHeight>0</wp14:pctHeight>
            </wp14:sizeRelV>
          </wp:anchor>
        </w:drawing>
      </w:r>
    </w:p>
    <w:p w:rsidR="006A310A" w:rsidRPr="00B05140" w:rsidP="006A310A" w14:paraId="045F30DC" w14:textId="77777777">
      <w:pPr>
        <w:rPr>
          <w:rFonts w:asciiTheme="majorHAnsi" w:hAnsiTheme="majorHAnsi" w:cstheme="majorHAnsi"/>
        </w:rPr>
      </w:pPr>
      <w:r w:rsidRPr="00B05140">
        <w:rPr>
          <w:rFonts w:asciiTheme="majorHAnsi" w:hAnsiTheme="majorHAnsi" w:cstheme="majorHAnsi"/>
        </w:rPr>
        <w:t xml:space="preserve">Sala das Sessões 09 de </w:t>
      </w:r>
      <w:r w:rsidRPr="00B05140">
        <w:rPr>
          <w:rFonts w:asciiTheme="majorHAnsi" w:hAnsiTheme="majorHAnsi" w:cstheme="majorHAnsi"/>
        </w:rPr>
        <w:t>Fevereiro  de</w:t>
      </w:r>
      <w:r w:rsidRPr="00B05140">
        <w:rPr>
          <w:rFonts w:asciiTheme="majorHAnsi" w:hAnsiTheme="majorHAnsi" w:cstheme="majorHAnsi"/>
        </w:rPr>
        <w:t xml:space="preserve"> 2021</w:t>
      </w:r>
    </w:p>
    <w:p w:rsidR="002C5BFB" w:rsidP="006A310A" w14:paraId="1B522088" w14:textId="2E4E13ED">
      <w:pPr>
        <w:rPr>
          <w:rFonts w:asciiTheme="majorHAnsi" w:hAnsiTheme="majorHAnsi" w:cstheme="majorHAnsi"/>
        </w:rPr>
      </w:pPr>
    </w:p>
    <w:sectPr w:rsidSect="00F703DC">
      <w:headerReference w:type="default" r:id="rId7"/>
      <w:footerReference w:type="default" r:id="rId8"/>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2434D"/>
    <w:rsid w:val="0003367D"/>
    <w:rsid w:val="00042F75"/>
    <w:rsid w:val="00043A97"/>
    <w:rsid w:val="00046216"/>
    <w:rsid w:val="0005255B"/>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3FFF"/>
    <w:rsid w:val="00146F5E"/>
    <w:rsid w:val="0015363E"/>
    <w:rsid w:val="00170018"/>
    <w:rsid w:val="0017535B"/>
    <w:rsid w:val="001756A6"/>
    <w:rsid w:val="001769BC"/>
    <w:rsid w:val="00182662"/>
    <w:rsid w:val="001A423C"/>
    <w:rsid w:val="001A6312"/>
    <w:rsid w:val="001A7076"/>
    <w:rsid w:val="001B020D"/>
    <w:rsid w:val="001B506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5BFB"/>
    <w:rsid w:val="002C7729"/>
    <w:rsid w:val="002C7F73"/>
    <w:rsid w:val="002D583C"/>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6030D"/>
    <w:rsid w:val="00371173"/>
    <w:rsid w:val="003730D6"/>
    <w:rsid w:val="00383A63"/>
    <w:rsid w:val="00387302"/>
    <w:rsid w:val="0039413D"/>
    <w:rsid w:val="00395337"/>
    <w:rsid w:val="00396928"/>
    <w:rsid w:val="003A0F67"/>
    <w:rsid w:val="003A2050"/>
    <w:rsid w:val="003B01D6"/>
    <w:rsid w:val="003B3CAB"/>
    <w:rsid w:val="003B4A4C"/>
    <w:rsid w:val="003B4DFC"/>
    <w:rsid w:val="003B7B42"/>
    <w:rsid w:val="003C65A3"/>
    <w:rsid w:val="003D397E"/>
    <w:rsid w:val="003D4956"/>
    <w:rsid w:val="003D6F30"/>
    <w:rsid w:val="003F1125"/>
    <w:rsid w:val="00401CEF"/>
    <w:rsid w:val="0040381D"/>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30EF3"/>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10A"/>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0F26"/>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05140"/>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066"/>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BFB"/>
    <w:pPr>
      <w:spacing w:line="25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line="259" w:lineRule="auto"/>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legislacao.planalto.gov.br/legisla/legislacao.nsf/Viw_Identificacao/lei%2013.146-2015?OpenDocument" TargetMode="External"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1335</Words>
  <Characters>7210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Rudinei Lobo</cp:lastModifiedBy>
  <cp:revision>3</cp:revision>
  <cp:lastPrinted>2020-06-08T15:10:00Z</cp:lastPrinted>
  <dcterms:created xsi:type="dcterms:W3CDTF">2021-02-16T13:01:00Z</dcterms:created>
  <dcterms:modified xsi:type="dcterms:W3CDTF">2021-05-04T15:37:00Z</dcterms:modified>
</cp:coreProperties>
</file>