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2C7729" w:rsidP="002C5BFB" w14:paraId="7C4A58B2" w14:textId="77777777">
      <w:pPr>
        <w:spacing w:line="240" w:lineRule="auto"/>
        <w:ind w:left="3540"/>
        <w:rPr>
          <w:sz w:val="32"/>
          <w:szCs w:val="32"/>
        </w:rPr>
      </w:pPr>
    </w:p>
    <w:p w:rsidR="002C7729" w:rsidP="002C5BFB" w14:paraId="7D3A4D2F" w14:textId="77777777">
      <w:pPr>
        <w:spacing w:line="240" w:lineRule="auto"/>
        <w:ind w:left="3540"/>
        <w:rPr>
          <w:sz w:val="32"/>
          <w:szCs w:val="32"/>
        </w:rPr>
      </w:pPr>
    </w:p>
    <w:p w:rsidR="002C5BFB" w:rsidRPr="002C7729" w:rsidP="002C5BFB" w14:paraId="2E7558E8" w14:textId="4B39A34B">
      <w:pPr>
        <w:spacing w:line="240" w:lineRule="auto"/>
        <w:ind w:left="3540"/>
        <w:rPr>
          <w:sz w:val="32"/>
          <w:szCs w:val="32"/>
        </w:rPr>
      </w:pPr>
      <w:r w:rsidRPr="002C7729">
        <w:rPr>
          <w:sz w:val="32"/>
          <w:szCs w:val="32"/>
        </w:rPr>
        <w:t xml:space="preserve">PPROJETO DE LEI      /2021 </w:t>
      </w:r>
    </w:p>
    <w:p w:rsidR="00B05140" w:rsidRPr="001B506D" w:rsidP="00B05140" w14:paraId="36D5CACF" w14:textId="73A071F2">
      <w:pPr>
        <w:shd w:val="clear" w:color="auto" w:fill="FFFFFF"/>
        <w:spacing w:before="300" w:after="300" w:line="300" w:lineRule="atLeast"/>
        <w:ind w:left="3000" w:right="300"/>
        <w:jc w:val="both"/>
        <w:outlineLvl w:val="0"/>
        <w:rPr>
          <w:rFonts w:eastAsia="Times New Roman" w:asciiTheme="majorHAnsi" w:hAnsiTheme="majorHAnsi" w:cstheme="majorHAnsi"/>
          <w:b/>
          <w:bCs/>
          <w:color w:val="333333"/>
          <w:kern w:val="36"/>
          <w:sz w:val="24"/>
          <w:szCs w:val="24"/>
          <w:lang w:eastAsia="pt-BR"/>
        </w:rPr>
      </w:pPr>
      <w:r w:rsidRPr="001B506D">
        <w:rPr>
          <w:rFonts w:eastAsia="Times New Roman" w:asciiTheme="majorHAnsi" w:hAnsiTheme="majorHAnsi" w:cstheme="majorHAnsi"/>
          <w:b/>
          <w:bCs/>
          <w:color w:val="333333"/>
          <w:kern w:val="36"/>
          <w:sz w:val="24"/>
          <w:szCs w:val="24"/>
          <w:lang w:eastAsia="pt-BR"/>
        </w:rPr>
        <w:t xml:space="preserve">Dispõe </w:t>
      </w:r>
      <w:r w:rsidRPr="001B506D" w:rsidR="002C7729">
        <w:rPr>
          <w:rFonts w:eastAsia="Times New Roman" w:asciiTheme="majorHAnsi" w:hAnsiTheme="majorHAnsi" w:cstheme="majorHAnsi"/>
          <w:b/>
          <w:bCs/>
          <w:color w:val="333333"/>
          <w:kern w:val="36"/>
          <w:sz w:val="24"/>
          <w:szCs w:val="24"/>
          <w:lang w:eastAsia="pt-BR"/>
        </w:rPr>
        <w:t xml:space="preserve">sobre </w:t>
      </w:r>
      <w:r w:rsidR="002C7729">
        <w:rPr>
          <w:rFonts w:eastAsia="Times New Roman" w:asciiTheme="majorHAnsi" w:hAnsiTheme="majorHAnsi" w:cstheme="majorHAnsi"/>
          <w:b/>
          <w:bCs/>
          <w:color w:val="333333"/>
          <w:kern w:val="36"/>
          <w:sz w:val="24"/>
          <w:szCs w:val="24"/>
          <w:lang w:eastAsia="pt-BR"/>
        </w:rPr>
        <w:t>o</w:t>
      </w:r>
      <w:r w:rsidRPr="001B506D">
        <w:rPr>
          <w:rFonts w:eastAsia="Times New Roman" w:asciiTheme="majorHAnsi" w:hAnsiTheme="majorHAnsi" w:cstheme="majorHAnsi"/>
          <w:b/>
          <w:bCs/>
          <w:color w:val="333333"/>
          <w:kern w:val="36"/>
          <w:sz w:val="24"/>
          <w:szCs w:val="24"/>
          <w:lang w:eastAsia="pt-BR"/>
        </w:rPr>
        <w:t xml:space="preserve"> Programa de Acompanhamento Integral dos estudantes com Dislexia, Transtorno do Déficit de Atenção com Hiperatividade (TDAH) e demais transtornos de aprendizagem, déficits visuais e auditivos da rede municipal de ensino, e dá outras providências.</w:t>
      </w:r>
    </w:p>
    <w:p w:rsidR="00B05140" w:rsidRPr="00B05140" w:rsidP="00B05140" w14:paraId="42D23580" w14:textId="395F239C">
      <w:pPr>
        <w:rPr>
          <w:rFonts w:eastAsia="Times New Roman" w:asciiTheme="majorHAnsi" w:hAnsiTheme="majorHAnsi" w:cstheme="majorHAnsi"/>
          <w:color w:val="333333"/>
          <w:sz w:val="24"/>
          <w:szCs w:val="24"/>
          <w:shd w:val="clear" w:color="auto" w:fill="FFFFFF"/>
          <w:lang w:eastAsia="pt-BR"/>
        </w:rPr>
      </w:pPr>
      <w:r w:rsidRPr="00B05140">
        <w:rPr>
          <w:rFonts w:eastAsia="Times New Roman" w:asciiTheme="majorHAnsi" w:hAnsiTheme="majorHAnsi" w:cstheme="majorHAnsi"/>
          <w:color w:val="333333"/>
          <w:sz w:val="24"/>
          <w:szCs w:val="24"/>
          <w:shd w:val="clear" w:color="auto" w:fill="FFFFFF"/>
          <w:lang w:eastAsia="pt-BR"/>
        </w:rPr>
        <w:t>Faz-se saber que a Câmara Municipal de Sumaré aprovou e eu promulgo a seguinte Lei:</w:t>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shd w:val="clear" w:color="auto" w:fill="FFFFFF"/>
          <w:lang w:eastAsia="pt-BR"/>
        </w:rPr>
        <w:t>Art</w:t>
      </w:r>
      <w:r w:rsidRPr="00B05140">
        <w:rPr>
          <w:rFonts w:eastAsia="Times New Roman" w:asciiTheme="majorHAnsi" w:hAnsiTheme="majorHAnsi" w:cstheme="majorHAnsi"/>
          <w:color w:val="333333"/>
          <w:sz w:val="24"/>
          <w:szCs w:val="24"/>
          <w:shd w:val="clear" w:color="auto" w:fill="FFFFFF"/>
          <w:lang w:eastAsia="pt-BR"/>
        </w:rPr>
        <w:t xml:space="preserve">º 1 Fica </w:t>
      </w:r>
      <w:r w:rsidR="002C7729">
        <w:rPr>
          <w:rFonts w:eastAsia="Times New Roman" w:asciiTheme="majorHAnsi" w:hAnsiTheme="majorHAnsi" w:cstheme="majorHAnsi"/>
          <w:color w:val="333333"/>
          <w:sz w:val="24"/>
          <w:szCs w:val="24"/>
          <w:shd w:val="clear" w:color="auto" w:fill="FFFFFF"/>
          <w:lang w:eastAsia="pt-BR"/>
        </w:rPr>
        <w:t>autorizado</w:t>
      </w:r>
      <w:r w:rsidRPr="00B05140">
        <w:rPr>
          <w:rFonts w:eastAsia="Times New Roman" w:asciiTheme="majorHAnsi" w:hAnsiTheme="majorHAnsi" w:cstheme="majorHAnsi"/>
          <w:color w:val="333333"/>
          <w:sz w:val="24"/>
          <w:szCs w:val="24"/>
          <w:shd w:val="clear" w:color="auto" w:fill="FFFFFF"/>
          <w:lang w:eastAsia="pt-BR"/>
        </w:rPr>
        <w:t xml:space="preserve"> no Município de Sumaré o Programa de Acompanhamento Integral dos estudantes portadores de Dislexia, Transtorno do Déficit de Atenção com Hiperatividade (TDAH) e demais transtornos de aprendizagem, déficits visuais e auditivos.</w:t>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shd w:val="clear" w:color="auto" w:fill="FFFFFF"/>
          <w:lang w:eastAsia="pt-BR"/>
        </w:rPr>
        <w:t>Parágrafo único. O Programa de Acompanhamento Integral de que trata o "caput" compreende a identificação precoce, o encaminhamento para diagnóstico, o apoio educacional na rede de ensino, o apoio especializado na rede de assistência social, bem como o apoio terapêutico especializado na rede de saúde.</w:t>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shd w:val="clear" w:color="auto" w:fill="FFFFFF"/>
          <w:lang w:eastAsia="pt-BR"/>
        </w:rPr>
        <w:t>Art</w:t>
      </w:r>
      <w:r w:rsidRPr="00B05140">
        <w:rPr>
          <w:rFonts w:eastAsia="Times New Roman" w:asciiTheme="majorHAnsi" w:hAnsiTheme="majorHAnsi" w:cstheme="majorHAnsi"/>
          <w:color w:val="333333"/>
          <w:sz w:val="24"/>
          <w:szCs w:val="24"/>
          <w:shd w:val="clear" w:color="auto" w:fill="FFFFFF"/>
          <w:lang w:eastAsia="pt-BR"/>
        </w:rPr>
        <w:t>º 2 As unidades escolares da rede pública e privada de ensino, com o apoio da família e dos serviços de saúde e assistência social existentes devem garantir o cuidado e a proteção ao educando com Dislexia, com Transtorno do Déficit de Atenção com Hiperatividade (TDAH) e demais transtornos de aprendizagem, bem como com déficits visuais e auditivos, visando ao seu pleno desenvolvimento físico, mental, moral, espiritual e social, contando com as redes de proteção social existentes no Município, de natureza governamental ou não governamental.</w:t>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shd w:val="clear" w:color="auto" w:fill="FFFFFF"/>
          <w:lang w:eastAsia="pt-BR"/>
        </w:rPr>
        <w:t>Art</w:t>
      </w:r>
      <w:r w:rsidRPr="00B05140">
        <w:rPr>
          <w:rFonts w:eastAsia="Times New Roman" w:asciiTheme="majorHAnsi" w:hAnsiTheme="majorHAnsi" w:cstheme="majorHAnsi"/>
          <w:color w:val="333333"/>
          <w:sz w:val="24"/>
          <w:szCs w:val="24"/>
          <w:shd w:val="clear" w:color="auto" w:fill="FFFFFF"/>
          <w:lang w:eastAsia="pt-BR"/>
        </w:rPr>
        <w:t>º 3 Os educandos com Dislexia, Transtorno do Déficit de Atenção com Hiperatividade (TDAH) e demais transtornos de aprendizagem, bem como com déficits visuais e auditivos da rede municipal de ensino que apresentam alterações no desenvolvimento da leitura e da escrita ou instabilidade na atenção, que repercutam na aprendizagem devem ter assegurado o acompanhamento específico voltado à sua dificuldade, da forma mais precoce possível, pelos seus educadores no âmbito da própria escola na qual estão matriculados, podendo contar com apoio e orientação da área de saúde, da assistência social e de outras políticas públicas existentes no município.</w:t>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shd w:val="clear" w:color="auto" w:fill="FFFFFF"/>
          <w:lang w:eastAsia="pt-BR"/>
        </w:rPr>
        <w:t>Parágrafo único. Caso seja verificada a necessidade de intervenção terapêutica, esta deverá ser estabelecida em caráter prioritário em um serviço de saúde</w:t>
      </w:r>
      <w:r w:rsidR="002C7729">
        <w:rPr>
          <w:rFonts w:eastAsia="Times New Roman" w:asciiTheme="majorHAnsi" w:hAnsiTheme="majorHAnsi" w:cstheme="majorHAnsi"/>
          <w:color w:val="333333"/>
          <w:sz w:val="24"/>
          <w:szCs w:val="24"/>
          <w:shd w:val="clear" w:color="auto" w:fill="FFFFFF"/>
          <w:lang w:eastAsia="pt-BR"/>
        </w:rPr>
        <w:t xml:space="preserve"> já incluso no sistema de saúde do município ,</w:t>
      </w:r>
      <w:r w:rsidRPr="00B05140">
        <w:rPr>
          <w:rFonts w:eastAsia="Times New Roman" w:asciiTheme="majorHAnsi" w:hAnsiTheme="majorHAnsi" w:cstheme="majorHAnsi"/>
          <w:color w:val="333333"/>
          <w:sz w:val="24"/>
          <w:szCs w:val="24"/>
          <w:shd w:val="clear" w:color="auto" w:fill="FFFFFF"/>
          <w:lang w:eastAsia="pt-BR"/>
        </w:rPr>
        <w:t xml:space="preserve"> que apresente a possibilidade de avaliação diagnóstica</w:t>
      </w:r>
      <w:r w:rsidR="002C7729">
        <w:rPr>
          <w:rFonts w:eastAsia="Times New Roman" w:asciiTheme="majorHAnsi" w:hAnsiTheme="majorHAnsi" w:cstheme="majorHAnsi"/>
          <w:color w:val="333333"/>
          <w:sz w:val="24"/>
          <w:szCs w:val="24"/>
          <w:shd w:val="clear" w:color="auto" w:fill="FFFFFF"/>
          <w:lang w:eastAsia="pt-BR"/>
        </w:rPr>
        <w:t xml:space="preserve"> </w:t>
      </w:r>
      <w:r w:rsidRPr="00B05140">
        <w:rPr>
          <w:rFonts w:eastAsia="Times New Roman" w:asciiTheme="majorHAnsi" w:hAnsiTheme="majorHAnsi" w:cstheme="majorHAnsi"/>
          <w:color w:val="333333"/>
          <w:sz w:val="24"/>
          <w:szCs w:val="24"/>
          <w:shd w:val="clear" w:color="auto" w:fill="FFFFFF"/>
          <w:lang w:eastAsia="pt-BR"/>
        </w:rPr>
        <w:t xml:space="preserve">, </w:t>
      </w:r>
      <w:r w:rsidRPr="00B05140">
        <w:rPr>
          <w:rFonts w:eastAsia="Times New Roman" w:asciiTheme="majorHAnsi" w:hAnsiTheme="majorHAnsi" w:cstheme="majorHAnsi"/>
          <w:color w:val="333333"/>
          <w:sz w:val="24"/>
          <w:szCs w:val="24"/>
          <w:shd w:val="clear" w:color="auto" w:fill="FFFFFF"/>
          <w:lang w:eastAsia="pt-BR"/>
        </w:rPr>
        <w:t>com metas de acompanhamento por equipe multidisciplinar composta por profissionais necessários ao desempenho dessa abordagem.</w:t>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shd w:val="clear" w:color="auto" w:fill="FFFFFF"/>
          <w:lang w:eastAsia="pt-BR"/>
        </w:rPr>
        <w:t>Art</w:t>
      </w:r>
      <w:r w:rsidRPr="00B05140">
        <w:rPr>
          <w:rFonts w:eastAsia="Times New Roman" w:asciiTheme="majorHAnsi" w:hAnsiTheme="majorHAnsi" w:cstheme="majorHAnsi"/>
          <w:color w:val="333333"/>
          <w:sz w:val="24"/>
          <w:szCs w:val="24"/>
          <w:shd w:val="clear" w:color="auto" w:fill="FFFFFF"/>
          <w:lang w:eastAsia="pt-BR"/>
        </w:rPr>
        <w:t>º 4 No âmbito do programa estabelecido no artigo 1º desta Lei, o órgão competente da municipalidade deverá garantir aos educadores e aos profissionais da rede municipal de ensino o amplo acesso à informação, inclusive com relação aos encaminhamentos possíveis para atendimento multissetorial e à formação continuada, objetivando capacitá-los para a identificação precoce dos sinais relacionados à dislexia, ao Transtorno do Déficit de Atenção com Hiperatividade (TDAH), aos demais transtornos de aprendizagem, bem como aos déficits visuais e auditivos, além do atendimento educacional escolar desses educandos.</w:t>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shd w:val="clear" w:color="auto" w:fill="FFFFFF"/>
          <w:lang w:eastAsia="pt-BR"/>
        </w:rPr>
        <w:t>Art</w:t>
      </w:r>
      <w:r w:rsidRPr="00B05140">
        <w:rPr>
          <w:rFonts w:eastAsia="Times New Roman" w:asciiTheme="majorHAnsi" w:hAnsiTheme="majorHAnsi" w:cstheme="majorHAnsi"/>
          <w:color w:val="333333"/>
          <w:sz w:val="24"/>
          <w:szCs w:val="24"/>
          <w:shd w:val="clear" w:color="auto" w:fill="FFFFFF"/>
          <w:lang w:eastAsia="pt-BR"/>
        </w:rPr>
        <w:t>º 5 As unidades escolares constantes do art. 2º dessa Lei deverão prover, na organização de suas classes, flexibilizações e adaptações curriculares que considerem o significado prático e instrumental dos conteúdos básicos, metodologias de ensino, recursos didáticos diferenciados e processos de avaliação adequados ao desenvolvimento dos alunos que apresentam necessidades educacionais especiais, em consonância com o projeto pedagógico da escola, respeitada a frequência obrigatória.</w:t>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shd w:val="clear" w:color="auto" w:fill="FFFFFF"/>
          <w:lang w:eastAsia="pt-BR"/>
        </w:rPr>
        <w:t>Parágrafo único. Deverão as unidades escolares dispostas no art. 2º dessa lei promover formação continuada sobre os temas relacionados à escolarização de pessoas que apresentarem as condições de saúde de que trata esta Lei, para que o profissional docente e o corpo técnico-pedagógico tenham maior compreensão acerca das questões pertinentes às adaptações e flexibilizações curriculares, metodologias, recursos didáticos e processos avaliativos.</w:t>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shd w:val="clear" w:color="auto" w:fill="FFFFFF"/>
          <w:lang w:eastAsia="pt-BR"/>
        </w:rPr>
        <w:t>Art</w:t>
      </w:r>
      <w:r w:rsidRPr="00B05140">
        <w:rPr>
          <w:rFonts w:eastAsia="Times New Roman" w:asciiTheme="majorHAnsi" w:hAnsiTheme="majorHAnsi" w:cstheme="majorHAnsi"/>
          <w:color w:val="333333"/>
          <w:sz w:val="24"/>
          <w:szCs w:val="24"/>
          <w:shd w:val="clear" w:color="auto" w:fill="FFFFFF"/>
          <w:lang w:eastAsia="pt-BR"/>
        </w:rPr>
        <w:t>º 6 É direito dos educandos com Dislexia, Transtorno do Déficit de Atenção com Hiperatividade (TDAH) e demais transtornos de aprendizagem, bem como com déficits visuais e auditivos, que apresentem alterações no desenvolvimento da leitura e da escrita, ou instabilidade na atenção, que repercutam na aprendizagem ter assegurado no âmbito da própria escola na qual estão matriculados a:</w:t>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shd w:val="clear" w:color="auto" w:fill="FFFFFF"/>
          <w:lang w:eastAsia="pt-BR"/>
        </w:rPr>
        <w:t>I - Disponibilização, em suas respectivas salas de aula, de assentos na primeira fila, assegurando seu posicionamento afastado de janelas, cartazes e outros elementos, possíveis potenciais de distração;</w:t>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shd w:val="clear" w:color="auto" w:fill="FFFFFF"/>
          <w:lang w:eastAsia="pt-BR"/>
        </w:rPr>
        <w:t>II - Permissão para usar equipamentos de informática e softwares educacionais como instrumento facilitador da construção do conhecimento;</w:t>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shd w:val="clear" w:color="auto" w:fill="FFFFFF"/>
          <w:lang w:eastAsia="pt-BR"/>
        </w:rPr>
        <w:t>III - Realização de atividades de avaliação e provas durante o ano letivo, em local diferenciado, com o auxílio preferencialmente do Professor Especializado e com maior tempo para a sua realização.</w:t>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shd w:val="clear" w:color="auto" w:fill="FFFFFF"/>
          <w:lang w:eastAsia="pt-BR"/>
        </w:rPr>
        <w:t>Parágrafo único. Para o atendimento do previsto nessa Lei, será necessária a apresentação, por parte dos pais ou responsáveis pelo aluno, de laudo médico comprovante de dislexia, com Transtorno do Déficit de Atenção com Hiperatividade (TDAH), demais transtornos de aprendizagem, bem como, com déficits visuais e auditivos, emitido por médico especialista em neurologia ou psiquiatria.</w:t>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shd w:val="clear" w:color="auto" w:fill="FFFFFF"/>
          <w:lang w:eastAsia="pt-BR"/>
        </w:rPr>
        <w:t>Art</w:t>
      </w:r>
      <w:r w:rsidRPr="00B05140">
        <w:rPr>
          <w:rFonts w:eastAsia="Times New Roman" w:asciiTheme="majorHAnsi" w:hAnsiTheme="majorHAnsi" w:cstheme="majorHAnsi"/>
          <w:color w:val="333333"/>
          <w:sz w:val="24"/>
          <w:szCs w:val="24"/>
          <w:shd w:val="clear" w:color="auto" w:fill="FFFFFF"/>
          <w:lang w:eastAsia="pt-BR"/>
        </w:rPr>
        <w:t>º 7 Fica instituída na rede municipal de Sumaré  "Campanha de Informação e Conscientização sobre os Transtornos de Aprendizagem", a ser realizada, anualmente, no primeiro semestre do ano letivo.</w:t>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shd w:val="clear" w:color="auto" w:fill="FFFFFF"/>
          <w:lang w:eastAsia="pt-BR"/>
        </w:rPr>
        <w:t>Parágrafo único. Durante a realização da campanha de que trata o "caput" devem ser desenvolvidas ações educativas, de conscientização e de esclarecimento sobre os transtornos de aprendizagem.</w:t>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shd w:val="clear" w:color="auto" w:fill="FFFFFF"/>
          <w:lang w:eastAsia="pt-BR"/>
        </w:rPr>
        <w:t>Art</w:t>
      </w:r>
      <w:r w:rsidRPr="00B05140">
        <w:rPr>
          <w:rFonts w:eastAsia="Times New Roman" w:asciiTheme="majorHAnsi" w:hAnsiTheme="majorHAnsi" w:cstheme="majorHAnsi"/>
          <w:color w:val="333333"/>
          <w:sz w:val="24"/>
          <w:szCs w:val="24"/>
          <w:shd w:val="clear" w:color="auto" w:fill="FFFFFF"/>
          <w:lang w:eastAsia="pt-BR"/>
        </w:rPr>
        <w:t xml:space="preserve">º 8 O Poder Executivo regulamentará o disposto nesta Lei, no </w:t>
      </w:r>
      <w:r w:rsidR="002C7729">
        <w:rPr>
          <w:rFonts w:eastAsia="Times New Roman" w:asciiTheme="majorHAnsi" w:hAnsiTheme="majorHAnsi" w:cstheme="majorHAnsi"/>
          <w:color w:val="333333"/>
          <w:sz w:val="24"/>
          <w:szCs w:val="24"/>
          <w:shd w:val="clear" w:color="auto" w:fill="FFFFFF"/>
          <w:lang w:eastAsia="pt-BR"/>
        </w:rPr>
        <w:t>prazo de 90 dias,</w:t>
      </w:r>
      <w:r w:rsidRPr="00B05140">
        <w:rPr>
          <w:rFonts w:eastAsia="Times New Roman" w:asciiTheme="majorHAnsi" w:hAnsiTheme="majorHAnsi" w:cstheme="majorHAnsi"/>
          <w:color w:val="333333"/>
          <w:sz w:val="24"/>
          <w:szCs w:val="24"/>
          <w:shd w:val="clear" w:color="auto" w:fill="FFFFFF"/>
          <w:lang w:eastAsia="pt-BR"/>
        </w:rPr>
        <w:t xml:space="preserve"> </w:t>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shd w:val="clear" w:color="auto" w:fill="FFFFFF"/>
          <w:lang w:eastAsia="pt-BR"/>
        </w:rPr>
        <w:t>Art</w:t>
      </w:r>
      <w:r w:rsidRPr="00B05140">
        <w:rPr>
          <w:rFonts w:eastAsia="Times New Roman" w:asciiTheme="majorHAnsi" w:hAnsiTheme="majorHAnsi" w:cstheme="majorHAnsi"/>
          <w:color w:val="333333"/>
          <w:sz w:val="24"/>
          <w:szCs w:val="24"/>
          <w:shd w:val="clear" w:color="auto" w:fill="FFFFFF"/>
          <w:lang w:eastAsia="pt-BR"/>
        </w:rPr>
        <w:t>º 9 As despesas decorrentes da execução dessa Lei correrão por conta de dotações orçamentárias próprias.</w:t>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shd w:val="clear" w:color="auto" w:fill="FFFFFF"/>
          <w:lang w:eastAsia="pt-BR"/>
        </w:rPr>
        <w:t>Art</w:t>
      </w:r>
      <w:r w:rsidRPr="00B05140">
        <w:rPr>
          <w:rFonts w:eastAsia="Times New Roman" w:asciiTheme="majorHAnsi" w:hAnsiTheme="majorHAnsi" w:cstheme="majorHAnsi"/>
          <w:color w:val="333333"/>
          <w:sz w:val="24"/>
          <w:szCs w:val="24"/>
          <w:shd w:val="clear" w:color="auto" w:fill="FFFFFF"/>
          <w:lang w:eastAsia="pt-BR"/>
        </w:rPr>
        <w:t>º 10 Esta Lei entra em vigor na data da sua publicação.</w:t>
      </w:r>
    </w:p>
    <w:p w:rsidR="00B05140" w:rsidRPr="00B05140" w:rsidP="00B05140" w14:paraId="20CAB5F1" w14:textId="1CA9114F">
      <w:pPr>
        <w:rPr>
          <w:rFonts w:asciiTheme="majorHAnsi" w:hAnsiTheme="majorHAnsi" w:cstheme="majorHAnsi"/>
        </w:rPr>
      </w:pPr>
      <w:r w:rsidRPr="00B05140">
        <w:rPr>
          <w:rFonts w:asciiTheme="majorHAnsi" w:hAnsiTheme="majorHAnsi" w:cstheme="majorHAnsi"/>
        </w:rPr>
        <w:t xml:space="preserve">Sala das Sessões </w:t>
      </w:r>
      <w:r>
        <w:rPr>
          <w:rFonts w:asciiTheme="majorHAnsi" w:hAnsiTheme="majorHAnsi" w:cstheme="majorHAnsi"/>
        </w:rPr>
        <w:t>16</w:t>
      </w:r>
      <w:r w:rsidRPr="00B05140">
        <w:rPr>
          <w:rFonts w:asciiTheme="majorHAnsi" w:hAnsiTheme="majorHAnsi" w:cstheme="majorHAnsi"/>
        </w:rPr>
        <w:t xml:space="preserve"> de </w:t>
      </w:r>
      <w:r w:rsidRPr="00B05140">
        <w:rPr>
          <w:rFonts w:asciiTheme="majorHAnsi" w:hAnsiTheme="majorHAnsi" w:cstheme="majorHAnsi"/>
        </w:rPr>
        <w:t>Fevereiro  de</w:t>
      </w:r>
      <w:r w:rsidRPr="00B05140">
        <w:rPr>
          <w:rFonts w:asciiTheme="majorHAnsi" w:hAnsiTheme="majorHAnsi" w:cstheme="majorHAnsi"/>
        </w:rPr>
        <w:t xml:space="preserve"> 2021</w:t>
      </w:r>
    </w:p>
    <w:p w:rsidR="00B05140" w:rsidRPr="001B506D" w:rsidP="00B05140" w14:paraId="37786515" w14:textId="77777777">
      <w:pPr>
        <w:rPr>
          <w:rFonts w:cstheme="minorHAnsi"/>
          <w:sz w:val="24"/>
          <w:szCs w:val="24"/>
        </w:rPr>
      </w:pPr>
    </w:p>
    <w:p w:rsidR="002C5BFB" w:rsidP="002C5BFB" w14:paraId="2BBA2572" w14:textId="04AE85E8">
      <w:pPr>
        <w:rPr>
          <w:rFonts w:asciiTheme="majorHAnsi" w:hAnsiTheme="majorHAnsi" w:cstheme="majorHAnsi"/>
        </w:rPr>
      </w:pPr>
      <w:r>
        <w:rPr>
          <w:noProof/>
        </w:rPr>
        <w:drawing>
          <wp:anchor distT="0" distB="0" distL="114300" distR="114300" simplePos="0" relativeHeight="251659264" behindDoc="1" locked="0" layoutInCell="1" allowOverlap="1">
            <wp:simplePos x="0" y="0"/>
            <wp:positionH relativeFrom="column">
              <wp:posOffset>1605915</wp:posOffset>
            </wp:positionH>
            <wp:positionV relativeFrom="paragraph">
              <wp:posOffset>162560</wp:posOffset>
            </wp:positionV>
            <wp:extent cx="2139950" cy="1641475"/>
            <wp:effectExtent l="0" t="0" r="0"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570674" name="Imagem 3"/>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2139950" cy="1641475"/>
                    </a:xfrm>
                    <a:prstGeom prst="rect">
                      <a:avLst/>
                    </a:prstGeom>
                    <a:noFill/>
                  </pic:spPr>
                </pic:pic>
              </a:graphicData>
            </a:graphic>
            <wp14:sizeRelH relativeFrom="page">
              <wp14:pctWidth>0</wp14:pctWidth>
            </wp14:sizeRelH>
            <wp14:sizeRelV relativeFrom="page">
              <wp14:pctHeight>0</wp14:pctHeight>
            </wp14:sizeRelV>
          </wp:anchor>
        </w:drawing>
      </w:r>
    </w:p>
    <w:p w:rsidR="002C5BFB" w:rsidP="002C5BFB" w14:paraId="1F3B4F66" w14:textId="77777777">
      <w:pPr>
        <w:rPr>
          <w:rFonts w:asciiTheme="majorHAnsi" w:hAnsiTheme="majorHAnsi" w:cstheme="majorHAnsi"/>
        </w:rPr>
      </w:pPr>
    </w:p>
    <w:p w:rsidR="002C5BFB" w:rsidP="002C5BFB" w14:paraId="4161AC62" w14:textId="77777777">
      <w:pPr>
        <w:spacing w:line="240" w:lineRule="auto"/>
      </w:pPr>
    </w:p>
    <w:p w:rsidR="002C5BFB" w:rsidP="002C5BFB" w14:paraId="5B1F0B82" w14:textId="77777777">
      <w:pPr>
        <w:spacing w:line="240" w:lineRule="auto"/>
      </w:pPr>
    </w:p>
    <w:p w:rsidR="002C5BFB" w:rsidP="002C5BFB" w14:paraId="5109673F" w14:textId="77777777">
      <w:pPr>
        <w:spacing w:line="240" w:lineRule="auto"/>
      </w:pPr>
    </w:p>
    <w:p w:rsidR="002C5BFB" w:rsidP="002C5BFB" w14:paraId="70CAC0BD" w14:textId="77777777">
      <w:pPr>
        <w:spacing w:line="240" w:lineRule="auto"/>
      </w:pPr>
    </w:p>
    <w:p w:rsidR="002C5BFB" w:rsidP="002C5BFB" w14:paraId="2D50FF3C" w14:textId="77777777">
      <w:pPr>
        <w:spacing w:line="240" w:lineRule="auto"/>
      </w:pPr>
    </w:p>
    <w:p w:rsidR="002C5BFB" w:rsidP="002C5BFB" w14:paraId="175C5BEB" w14:textId="7E6E1191">
      <w:pPr>
        <w:spacing w:line="240" w:lineRule="auto"/>
      </w:pPr>
    </w:p>
    <w:p w:rsidR="00B05140" w:rsidP="002C5BFB" w14:paraId="5FA4DF09" w14:textId="530D43BF">
      <w:pPr>
        <w:spacing w:line="240" w:lineRule="auto"/>
      </w:pPr>
    </w:p>
    <w:p w:rsidR="00B05140" w:rsidP="002C5BFB" w14:paraId="3EECCA4F" w14:textId="1D19FCF6">
      <w:pPr>
        <w:spacing w:line="240" w:lineRule="auto"/>
      </w:pPr>
    </w:p>
    <w:p w:rsidR="00B05140" w:rsidP="002C5BFB" w14:paraId="090A2F0E" w14:textId="66BBDCB6">
      <w:pPr>
        <w:spacing w:line="240" w:lineRule="auto"/>
      </w:pPr>
    </w:p>
    <w:p w:rsidR="00B05140" w:rsidP="002C5BFB" w14:paraId="500F2DE6" w14:textId="7160AD17">
      <w:pPr>
        <w:spacing w:line="240" w:lineRule="auto"/>
      </w:pPr>
    </w:p>
    <w:p w:rsidR="00B05140" w:rsidP="002C5BFB" w14:paraId="24DD31B6" w14:textId="54C8CB63">
      <w:pPr>
        <w:spacing w:line="240" w:lineRule="auto"/>
      </w:pPr>
    </w:p>
    <w:p w:rsidR="00B05140" w:rsidP="002C5BFB" w14:paraId="362F7E9D" w14:textId="57192B38">
      <w:pPr>
        <w:spacing w:line="240" w:lineRule="auto"/>
      </w:pPr>
    </w:p>
    <w:p w:rsidR="002C5BFB" w:rsidP="002C5BFB" w14:paraId="320C0A58" w14:textId="77777777">
      <w:pPr>
        <w:spacing w:line="240" w:lineRule="auto"/>
        <w:jc w:val="center"/>
        <w:rPr>
          <w:sz w:val="44"/>
          <w:szCs w:val="44"/>
        </w:rPr>
      </w:pPr>
      <w:r>
        <w:rPr>
          <w:sz w:val="44"/>
          <w:szCs w:val="44"/>
        </w:rPr>
        <w:t>JUSTIFICATIVA</w:t>
      </w:r>
    </w:p>
    <w:p w:rsidR="002C5BFB" w:rsidP="002C5BFB" w14:paraId="12F592B6" w14:textId="77777777">
      <w:pPr>
        <w:spacing w:line="240" w:lineRule="auto"/>
        <w:jc w:val="center"/>
        <w:rPr>
          <w:sz w:val="44"/>
          <w:szCs w:val="44"/>
        </w:rPr>
      </w:pPr>
    </w:p>
    <w:p w:rsidR="002C5BFB" w:rsidRPr="00B05140" w:rsidP="002C5BFB" w14:paraId="720A0131" w14:textId="430C6F6E">
      <w:pPr>
        <w:spacing w:line="240" w:lineRule="auto"/>
        <w:rPr>
          <w:rFonts w:asciiTheme="majorHAnsi" w:hAnsiTheme="majorHAnsi" w:cstheme="majorHAnsi"/>
        </w:rPr>
      </w:pPr>
      <w:r w:rsidRPr="00B05140">
        <w:rPr>
          <w:rFonts w:asciiTheme="majorHAnsi" w:hAnsiTheme="majorHAnsi" w:cstheme="majorHAnsi"/>
        </w:rPr>
        <w:t xml:space="preserve">O propósito do Projeto de Lei em tela é fazer com que o Município de </w:t>
      </w:r>
      <w:r w:rsidRPr="00B05140" w:rsidR="002C7729">
        <w:rPr>
          <w:rFonts w:asciiTheme="majorHAnsi" w:hAnsiTheme="majorHAnsi" w:cstheme="majorHAnsi"/>
        </w:rPr>
        <w:t>Sumaré,</w:t>
      </w:r>
      <w:r w:rsidRPr="00B05140">
        <w:rPr>
          <w:rFonts w:asciiTheme="majorHAnsi" w:hAnsiTheme="majorHAnsi" w:cstheme="majorHAnsi"/>
        </w:rPr>
        <w:t xml:space="preserve"> por meio de ações multidisciplinares de Saúde e Educação possa promover a capacitação e aprimoramento de profissionais que militem com pessoas que apresentam a Síndrome e estimule a integração de crianças e adolescentes autistas ao Ensino Regular.</w:t>
      </w:r>
    </w:p>
    <w:p w:rsidR="002C5BFB" w:rsidRPr="00B05140" w:rsidP="002C5BFB" w14:paraId="04DCB408" w14:textId="77777777">
      <w:pPr>
        <w:spacing w:line="240" w:lineRule="auto"/>
        <w:rPr>
          <w:rFonts w:asciiTheme="majorHAnsi" w:hAnsiTheme="majorHAnsi" w:cstheme="majorHAnsi"/>
        </w:rPr>
      </w:pPr>
      <w:r w:rsidRPr="00B05140">
        <w:rPr>
          <w:rFonts w:asciiTheme="majorHAnsi" w:hAnsiTheme="majorHAnsi" w:cstheme="majorHAnsi"/>
        </w:rPr>
        <w:t xml:space="preserve">Baseados no que preceitua a Lei 12.764 de 2012 que institui a Política Nacional de Proteção dos Direitos da Pessoa com Transtorno do Espectro Autista em todo o país, que assegura aos autistas os benefícios concedidos a todas as pessoas com deficiência, ressaltando o dever dos órgãos públicos de fazer com que a lei seja aplicada de forma satisfatória, com profissionais habilitados a fim de diagnosticar, preparar, descobrir o potencial e inseri-lo na sociedade, determina ainda, como dever legal, o incentivo </w:t>
      </w:r>
      <w:r w:rsidRPr="00B05140">
        <w:rPr>
          <w:rFonts w:asciiTheme="majorHAnsi" w:hAnsiTheme="majorHAnsi" w:cstheme="majorHAnsi"/>
        </w:rPr>
        <w:t>á</w:t>
      </w:r>
      <w:r w:rsidRPr="00B05140">
        <w:rPr>
          <w:rFonts w:asciiTheme="majorHAnsi" w:hAnsiTheme="majorHAnsi" w:cstheme="majorHAnsi"/>
        </w:rPr>
        <w:t xml:space="preserve"> formação e a capacitação de profissionais especializados no atendimento a pessoa com transtorno de espectro autista.</w:t>
      </w:r>
    </w:p>
    <w:p w:rsidR="002C5BFB" w:rsidRPr="00B05140" w:rsidP="002C5BFB" w14:paraId="49654DC4" w14:textId="65942AE2">
      <w:pPr>
        <w:spacing w:line="240" w:lineRule="auto"/>
        <w:rPr>
          <w:rFonts w:asciiTheme="majorHAnsi" w:hAnsiTheme="majorHAnsi" w:cstheme="majorHAnsi"/>
        </w:rPr>
      </w:pPr>
      <w:r w:rsidRPr="00B05140">
        <w:rPr>
          <w:rFonts w:asciiTheme="majorHAnsi" w:hAnsiTheme="majorHAnsi" w:cstheme="majorHAnsi"/>
        </w:rPr>
        <w:t>Urge a necessidade de capacitação dos profissionais de Educação para proporcionar real inclusão escolar dos autistas ou dos diagnósticos dentro do TEA, visto que muitos educadores resistem ao trabalho com crianças e adolescentes que apresentem o transtorno por ignorar como lidar com as diversas manifestações da síndrome.</w:t>
      </w:r>
    </w:p>
    <w:p w:rsidR="00B05140" w:rsidRPr="00B05140" w:rsidP="002C5BFB" w14:paraId="6C84444C" w14:textId="5F58253F">
      <w:pPr>
        <w:spacing w:line="240" w:lineRule="auto"/>
        <w:rPr>
          <w:rFonts w:asciiTheme="majorHAnsi" w:hAnsiTheme="majorHAnsi" w:cstheme="majorHAnsi"/>
        </w:rPr>
      </w:pPr>
      <w:hyperlink r:id="rId5" w:history="1">
        <w:r w:rsidRPr="00B05140">
          <w:rPr>
            <w:rStyle w:val="Hyperlink"/>
            <w:rFonts w:asciiTheme="majorHAnsi" w:hAnsiTheme="majorHAnsi" w:cstheme="majorHAnsi"/>
            <w:color w:val="auto"/>
            <w:sz w:val="20"/>
            <w:u w:val="none"/>
          </w:rPr>
          <w:t>LEI Nº 13.146, DE 6 DE JULHO DE 2015.</w:t>
        </w:r>
      </w:hyperlink>
      <w:r w:rsidRPr="00B05140">
        <w:rPr>
          <w:rStyle w:val="Strong"/>
          <w:rFonts w:asciiTheme="majorHAnsi" w:hAnsiTheme="majorHAnsi" w:cstheme="majorHAnsi"/>
          <w:b w:val="0"/>
          <w:bCs w:val="0"/>
          <w:sz w:val="20"/>
        </w:rPr>
        <w:t xml:space="preserve"> </w:t>
      </w:r>
      <w:r w:rsidRPr="00B05140">
        <w:rPr>
          <w:rFonts w:asciiTheme="majorHAnsi" w:hAnsiTheme="majorHAnsi" w:cstheme="majorHAnsi"/>
        </w:rPr>
        <w:t>Institui a Lei Brasileira de Inclusão da Pessoa com Deficiência (Estatuto da Pessoa com Deficiência).</w:t>
      </w:r>
    </w:p>
    <w:p w:rsidR="00B05140" w:rsidRPr="00B05140" w:rsidP="002C5BFB" w14:paraId="644BA0CB" w14:textId="43AFBD44">
      <w:pPr>
        <w:spacing w:line="240" w:lineRule="auto"/>
        <w:rPr>
          <w:rFonts w:asciiTheme="majorHAnsi" w:hAnsiTheme="majorHAnsi" w:cstheme="majorHAnsi"/>
        </w:rPr>
      </w:pPr>
      <w:r w:rsidRPr="00B05140">
        <w:rPr>
          <w:rFonts w:asciiTheme="majorHAnsi" w:hAnsiTheme="majorHAnsi" w:cstheme="majorHAnsi"/>
        </w:rPr>
        <w:t>Lei Brasileira de Inclusão da Pessoa com Deficiência (Estatuto da Pessoa com Deficiência), destinada a assegurar e a promover, em condições de igualdade, o exercício dos direitos e das liberdades fundamentais por pessoa com deficiência, visando à sua inclusão social e cidadania.</w:t>
      </w:r>
    </w:p>
    <w:p w:rsidR="002C5BFB" w:rsidRPr="00B05140" w:rsidP="002C5BFB" w14:paraId="4E652C1F" w14:textId="0138AE20">
      <w:pPr>
        <w:spacing w:line="240" w:lineRule="auto"/>
        <w:rPr>
          <w:rFonts w:asciiTheme="majorHAnsi" w:hAnsiTheme="majorHAnsi" w:cstheme="majorHAnsi"/>
        </w:rPr>
      </w:pPr>
      <w:r w:rsidRPr="00B05140">
        <w:rPr>
          <w:rFonts w:asciiTheme="majorHAnsi" w:hAnsiTheme="majorHAnsi" w:cstheme="majorHAnsi"/>
        </w:rPr>
        <w:t xml:space="preserve">A inclusão da pessoa com </w:t>
      </w:r>
      <w:r w:rsidRPr="00B05140" w:rsidR="00B05140">
        <w:rPr>
          <w:rFonts w:asciiTheme="majorHAnsi" w:hAnsiTheme="majorHAnsi" w:cstheme="majorHAnsi"/>
        </w:rPr>
        <w:t>deficiência não</w:t>
      </w:r>
      <w:r w:rsidRPr="00B05140">
        <w:rPr>
          <w:rFonts w:asciiTheme="majorHAnsi" w:hAnsiTheme="majorHAnsi" w:cstheme="majorHAnsi"/>
        </w:rPr>
        <w:t xml:space="preserve"> se estanca com a chegada dele na escola. Necessário se faz garantir sua permanência e aprendizagem; lamentável dizer que a escola regular não é feita para todos.</w:t>
      </w:r>
    </w:p>
    <w:p w:rsidR="002C5BFB" w:rsidRPr="00B05140" w:rsidP="002C5BFB" w14:paraId="1A5A8BE3" w14:textId="0A7DA9DF">
      <w:pPr>
        <w:spacing w:line="240" w:lineRule="auto"/>
        <w:rPr>
          <w:rFonts w:asciiTheme="majorHAnsi" w:hAnsiTheme="majorHAnsi" w:cstheme="majorHAnsi"/>
        </w:rPr>
      </w:pPr>
      <w:r w:rsidRPr="00B05140">
        <w:rPr>
          <w:rFonts w:asciiTheme="majorHAnsi" w:hAnsiTheme="majorHAnsi" w:cstheme="majorHAnsi"/>
        </w:rPr>
        <w:t>Ressaltamos que esta propositura não visa a segregação e sim a inclusão das pessoas com autismo na escola e na sociedade, objetivando minimizar o sofrimento das famílias que ficam sem amparo e direcionamento para enfrentar uma situação tão complexa.</w:t>
      </w:r>
    </w:p>
    <w:p w:rsidR="002C5BFB" w:rsidRPr="00B05140" w:rsidP="002C5BFB" w14:paraId="1EB54927" w14:textId="1C9731B2">
      <w:pPr>
        <w:spacing w:line="240" w:lineRule="auto"/>
        <w:rPr>
          <w:rFonts w:asciiTheme="majorHAnsi" w:hAnsiTheme="majorHAnsi" w:cstheme="majorHAnsi"/>
        </w:rPr>
      </w:pPr>
      <w:r w:rsidRPr="00B05140">
        <w:rPr>
          <w:rFonts w:asciiTheme="majorHAnsi" w:hAnsiTheme="majorHAnsi" w:cstheme="majorHAnsi"/>
        </w:rPr>
        <w:t>Diante do relevante alcance social da matéria pedimos a compreensão dos Nobres Pares para a apreciação e aprovação da matéria.</w:t>
      </w:r>
    </w:p>
    <w:p w:rsidR="002C5BFB" w:rsidRPr="00B05140" w:rsidP="002C5BFB" w14:paraId="2BC40DCC" w14:textId="0554ADAB">
      <w:pPr>
        <w:spacing w:line="240" w:lineRule="auto"/>
        <w:rPr>
          <w:rFonts w:asciiTheme="majorHAnsi" w:hAnsiTheme="majorHAnsi" w:cstheme="majorHAnsi"/>
        </w:rPr>
      </w:pPr>
      <w:r w:rsidRPr="00B05140">
        <w:rPr>
          <w:rFonts w:asciiTheme="majorHAnsi" w:hAnsiTheme="majorHAnsi" w:cstheme="majorHAnsi"/>
          <w:noProof/>
        </w:rPr>
        <w:drawing>
          <wp:anchor distT="0" distB="0" distL="114300" distR="114300" simplePos="0" relativeHeight="251658240" behindDoc="1" locked="0" layoutInCell="1" allowOverlap="1">
            <wp:simplePos x="0" y="0"/>
            <wp:positionH relativeFrom="column">
              <wp:posOffset>2633345</wp:posOffset>
            </wp:positionH>
            <wp:positionV relativeFrom="paragraph">
              <wp:posOffset>63256</wp:posOffset>
            </wp:positionV>
            <wp:extent cx="1419225" cy="1088634"/>
            <wp:effectExtent l="0" t="0" r="0" b="0"/>
            <wp:wrapNone/>
            <wp:docPr id="172190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930812" name="Imagem 4"/>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419225" cy="1088634"/>
                    </a:xfrm>
                    <a:prstGeom prst="rect">
                      <a:avLst/>
                    </a:prstGeom>
                    <a:noFill/>
                  </pic:spPr>
                </pic:pic>
              </a:graphicData>
            </a:graphic>
            <wp14:sizeRelH relativeFrom="page">
              <wp14:pctWidth>0</wp14:pctWidth>
            </wp14:sizeRelH>
            <wp14:sizeRelV relativeFrom="page">
              <wp14:pctHeight>0</wp14:pctHeight>
            </wp14:sizeRelV>
          </wp:anchor>
        </w:drawing>
      </w:r>
    </w:p>
    <w:p w:rsidR="006A310A" w:rsidRPr="00B05140" w:rsidP="006A310A" w14:paraId="045F30DC" w14:textId="77777777">
      <w:pPr>
        <w:rPr>
          <w:rFonts w:asciiTheme="majorHAnsi" w:hAnsiTheme="majorHAnsi" w:cstheme="majorHAnsi"/>
        </w:rPr>
      </w:pPr>
      <w:r w:rsidRPr="00B05140">
        <w:rPr>
          <w:rFonts w:asciiTheme="majorHAnsi" w:hAnsiTheme="majorHAnsi" w:cstheme="majorHAnsi"/>
        </w:rPr>
        <w:t xml:space="preserve">Sala das Sessões 09 de </w:t>
      </w:r>
      <w:r w:rsidRPr="00B05140">
        <w:rPr>
          <w:rFonts w:asciiTheme="majorHAnsi" w:hAnsiTheme="majorHAnsi" w:cstheme="majorHAnsi"/>
        </w:rPr>
        <w:t>Fevereiro  de</w:t>
      </w:r>
      <w:r w:rsidRPr="00B05140">
        <w:rPr>
          <w:rFonts w:asciiTheme="majorHAnsi" w:hAnsiTheme="majorHAnsi" w:cstheme="majorHAnsi"/>
        </w:rPr>
        <w:t xml:space="preserve"> 2021</w:t>
      </w:r>
    </w:p>
    <w:p w:rsidR="002C5BFB" w:rsidP="006A310A" w14:paraId="1B522088" w14:textId="2E4E13ED">
      <w:pPr>
        <w:rPr>
          <w:rFonts w:asciiTheme="majorHAnsi" w:hAnsiTheme="majorHAnsi" w:cstheme="majorHAnsi"/>
        </w:rPr>
      </w:pPr>
    </w:p>
    <w:sectPr w:rsidSect="00F703DC">
      <w:headerReference w:type="default" r:id="rId7"/>
      <w:footerReference w:type="default" r:id="rId8"/>
      <w:pgSz w:w="11906" w:h="16838"/>
      <w:pgMar w:top="1701" w:right="1701" w:bottom="127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3E63" w14:paraId="10CAEEA8" w14:textId="3F77A381">
    <w:pPr>
      <w:pStyle w:val="Footer"/>
    </w:pPr>
    <w:r>
      <w:t>________________________________________________________________________________</w:t>
    </w:r>
  </w:p>
  <w:p w:rsidR="00903E63" w:rsidRPr="00903E63" w:rsidP="00903E63" w14:paraId="6BC86FAA" w14:textId="05D702F0">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1ADD" w:rsidRPr="00903E63" w:rsidP="00211ADD" w14:paraId="6B2BFF96" w14:textId="75B2D09D">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Pr="00903E63">
      <w:rPr>
        <w:rFonts w:ascii="Arial Black" w:hAnsi="Arial Black"/>
        <w:sz w:val="32"/>
        <w:szCs w:val="32"/>
      </w:rPr>
      <w:t>CÂMARA MUNICIPAL DE SUMARÉ</w:t>
    </w:r>
  </w:p>
  <w:p w:rsidR="00211ADD" w:rsidP="00211ADD" w14:paraId="11F9184E" w14:textId="18CB1AEC">
    <w:pPr>
      <w:pStyle w:val="Heading1"/>
    </w:pPr>
    <w:r>
      <w:rPr>
        <w:sz w:val="22"/>
      </w:rPr>
      <w:t xml:space="preserve">                        </w:t>
    </w:r>
    <w:r>
      <w:rPr>
        <w:sz w:val="22"/>
      </w:rPr>
      <w:t>ESTADO DE SÃO PAULO</w:t>
    </w:r>
  </w:p>
  <w:p w:rsidR="00211ADD" w:rsidRPr="00211ADD" w:rsidP="00903E63" w14:paraId="0A38A386" w14:textId="33C18417">
    <w:pPr>
      <w:tabs>
        <w:tab w:val="left" w:pos="1590"/>
      </w:tabs>
      <w:rPr>
        <w:lang w:eastAsia="pt-BR"/>
      </w:rPr>
    </w:pPr>
    <w:r>
      <w:rPr>
        <w:lang w:eastAsia="pt-BR"/>
      </w:rPr>
      <w:tab/>
    </w:r>
  </w:p>
  <w:p w:rsidR="00211ADD" w14:paraId="7B77B0F0"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5295900"/>
          <wp:wrapNone/>
          <wp:docPr id="10000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2"/>
                  <a:stretch>
                    <a:fillRect/>
                  </a:stretch>
                </pic:blipFill>
                <pic:spPr>
                  <a:xfrm>
                    <a:off x="0" y="0"/>
                    <a:ext cx="381000" cy="52959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07284502"/>
    <w:multiLevelType w:val="hybridMultilevel"/>
    <w:tmpl w:val="49E0978E"/>
    <w:lvl w:ilvl="0">
      <w:start w:val="1"/>
      <w:numFmt w:val="bullet"/>
      <w:lvlText w:val=""/>
      <w:lvlJc w:val="left"/>
      <w:pPr>
        <w:ind w:left="2421" w:hanging="360"/>
      </w:pPr>
      <w:rPr>
        <w:rFonts w:ascii="Symbol" w:hAnsi="Symbol" w:hint="default"/>
      </w:rPr>
    </w:lvl>
    <w:lvl w:ilvl="1" w:tentative="1">
      <w:start w:val="1"/>
      <w:numFmt w:val="bullet"/>
      <w:lvlText w:val="o"/>
      <w:lvlJc w:val="left"/>
      <w:pPr>
        <w:ind w:left="3141" w:hanging="360"/>
      </w:pPr>
      <w:rPr>
        <w:rFonts w:ascii="Courier New" w:hAnsi="Courier New" w:cs="Courier New" w:hint="default"/>
      </w:rPr>
    </w:lvl>
    <w:lvl w:ilvl="2" w:tentative="1">
      <w:start w:val="1"/>
      <w:numFmt w:val="bullet"/>
      <w:lvlText w:val=""/>
      <w:lvlJc w:val="left"/>
      <w:pPr>
        <w:ind w:left="3861" w:hanging="360"/>
      </w:pPr>
      <w:rPr>
        <w:rFonts w:ascii="Wingdings" w:hAnsi="Wingdings" w:hint="default"/>
      </w:rPr>
    </w:lvl>
    <w:lvl w:ilvl="3" w:tentative="1">
      <w:start w:val="1"/>
      <w:numFmt w:val="bullet"/>
      <w:lvlText w:val=""/>
      <w:lvlJc w:val="left"/>
      <w:pPr>
        <w:ind w:left="4581" w:hanging="360"/>
      </w:pPr>
      <w:rPr>
        <w:rFonts w:ascii="Symbol" w:hAnsi="Symbol" w:hint="default"/>
      </w:rPr>
    </w:lvl>
    <w:lvl w:ilvl="4" w:tentative="1">
      <w:start w:val="1"/>
      <w:numFmt w:val="bullet"/>
      <w:lvlText w:val="o"/>
      <w:lvlJc w:val="left"/>
      <w:pPr>
        <w:ind w:left="5301" w:hanging="360"/>
      </w:pPr>
      <w:rPr>
        <w:rFonts w:ascii="Courier New" w:hAnsi="Courier New" w:cs="Courier New" w:hint="default"/>
      </w:rPr>
    </w:lvl>
    <w:lvl w:ilvl="5" w:tentative="1">
      <w:start w:val="1"/>
      <w:numFmt w:val="bullet"/>
      <w:lvlText w:val=""/>
      <w:lvlJc w:val="left"/>
      <w:pPr>
        <w:ind w:left="6021" w:hanging="360"/>
      </w:pPr>
      <w:rPr>
        <w:rFonts w:ascii="Wingdings" w:hAnsi="Wingdings" w:hint="default"/>
      </w:rPr>
    </w:lvl>
    <w:lvl w:ilvl="6" w:tentative="1">
      <w:start w:val="1"/>
      <w:numFmt w:val="bullet"/>
      <w:lvlText w:val=""/>
      <w:lvlJc w:val="left"/>
      <w:pPr>
        <w:ind w:left="6741" w:hanging="360"/>
      </w:pPr>
      <w:rPr>
        <w:rFonts w:ascii="Symbol" w:hAnsi="Symbol" w:hint="default"/>
      </w:rPr>
    </w:lvl>
    <w:lvl w:ilvl="7" w:tentative="1">
      <w:start w:val="1"/>
      <w:numFmt w:val="bullet"/>
      <w:lvlText w:val="o"/>
      <w:lvlJc w:val="left"/>
      <w:pPr>
        <w:ind w:left="7461" w:hanging="360"/>
      </w:pPr>
      <w:rPr>
        <w:rFonts w:ascii="Courier New" w:hAnsi="Courier New" w:cs="Courier New" w:hint="default"/>
      </w:rPr>
    </w:lvl>
    <w:lvl w:ilvl="8" w:tentative="1">
      <w:start w:val="1"/>
      <w:numFmt w:val="bullet"/>
      <w:lvlText w:val=""/>
      <w:lvlJc w:val="left"/>
      <w:pPr>
        <w:ind w:left="8181" w:hanging="360"/>
      </w:pPr>
      <w:rPr>
        <w:rFonts w:ascii="Wingdings" w:hAnsi="Wingdings" w:hint="default"/>
      </w:rPr>
    </w:lvl>
  </w:abstractNum>
  <w:abstractNum w:abstractNumId="2">
    <w:nsid w:val="0BDC1920"/>
    <w:multiLevelType w:val="hybridMultilevel"/>
    <w:tmpl w:val="21E48304"/>
    <w:lvl w:ilvl="0">
      <w:start w:val="1"/>
      <w:numFmt w:val="bullet"/>
      <w:lvlText w:val=""/>
      <w:lvlJc w:val="left"/>
      <w:pPr>
        <w:ind w:left="1713" w:hanging="360"/>
      </w:pPr>
      <w:rPr>
        <w:rFonts w:ascii="Symbol" w:hAnsi="Symbol" w:hint="default"/>
      </w:rPr>
    </w:lvl>
    <w:lvl w:ilvl="1" w:tentative="1">
      <w:start w:val="1"/>
      <w:numFmt w:val="bullet"/>
      <w:lvlText w:val="o"/>
      <w:lvlJc w:val="left"/>
      <w:pPr>
        <w:ind w:left="2433" w:hanging="360"/>
      </w:pPr>
      <w:rPr>
        <w:rFonts w:ascii="Courier New" w:hAnsi="Courier New" w:cs="Courier New" w:hint="default"/>
      </w:rPr>
    </w:lvl>
    <w:lvl w:ilvl="2" w:tentative="1">
      <w:start w:val="1"/>
      <w:numFmt w:val="bullet"/>
      <w:lvlText w:val=""/>
      <w:lvlJc w:val="left"/>
      <w:pPr>
        <w:ind w:left="3153" w:hanging="360"/>
      </w:pPr>
      <w:rPr>
        <w:rFonts w:ascii="Wingdings" w:hAnsi="Wingdings" w:hint="default"/>
      </w:rPr>
    </w:lvl>
    <w:lvl w:ilvl="3" w:tentative="1">
      <w:start w:val="1"/>
      <w:numFmt w:val="bullet"/>
      <w:lvlText w:val=""/>
      <w:lvlJc w:val="left"/>
      <w:pPr>
        <w:ind w:left="3873" w:hanging="360"/>
      </w:pPr>
      <w:rPr>
        <w:rFonts w:ascii="Symbol" w:hAnsi="Symbol" w:hint="default"/>
      </w:rPr>
    </w:lvl>
    <w:lvl w:ilvl="4" w:tentative="1">
      <w:start w:val="1"/>
      <w:numFmt w:val="bullet"/>
      <w:lvlText w:val="o"/>
      <w:lvlJc w:val="left"/>
      <w:pPr>
        <w:ind w:left="4593" w:hanging="360"/>
      </w:pPr>
      <w:rPr>
        <w:rFonts w:ascii="Courier New" w:hAnsi="Courier New" w:cs="Courier New" w:hint="default"/>
      </w:rPr>
    </w:lvl>
    <w:lvl w:ilvl="5" w:tentative="1">
      <w:start w:val="1"/>
      <w:numFmt w:val="bullet"/>
      <w:lvlText w:val=""/>
      <w:lvlJc w:val="left"/>
      <w:pPr>
        <w:ind w:left="5313" w:hanging="360"/>
      </w:pPr>
      <w:rPr>
        <w:rFonts w:ascii="Wingdings" w:hAnsi="Wingdings" w:hint="default"/>
      </w:rPr>
    </w:lvl>
    <w:lvl w:ilvl="6" w:tentative="1">
      <w:start w:val="1"/>
      <w:numFmt w:val="bullet"/>
      <w:lvlText w:val=""/>
      <w:lvlJc w:val="left"/>
      <w:pPr>
        <w:ind w:left="6033" w:hanging="360"/>
      </w:pPr>
      <w:rPr>
        <w:rFonts w:ascii="Symbol" w:hAnsi="Symbol" w:hint="default"/>
      </w:rPr>
    </w:lvl>
    <w:lvl w:ilvl="7" w:tentative="1">
      <w:start w:val="1"/>
      <w:numFmt w:val="bullet"/>
      <w:lvlText w:val="o"/>
      <w:lvlJc w:val="left"/>
      <w:pPr>
        <w:ind w:left="6753" w:hanging="360"/>
      </w:pPr>
      <w:rPr>
        <w:rFonts w:ascii="Courier New" w:hAnsi="Courier New" w:cs="Courier New" w:hint="default"/>
      </w:rPr>
    </w:lvl>
    <w:lvl w:ilvl="8" w:tentative="1">
      <w:start w:val="1"/>
      <w:numFmt w:val="bullet"/>
      <w:lvlText w:val=""/>
      <w:lvlJc w:val="left"/>
      <w:pPr>
        <w:ind w:left="7473" w:hanging="360"/>
      </w:pPr>
      <w:rPr>
        <w:rFonts w:ascii="Wingdings" w:hAnsi="Wingdings" w:hint="default"/>
      </w:rPr>
    </w:lvl>
  </w:abstractNum>
  <w:abstractNum w:abstractNumId="3">
    <w:nsid w:val="10FE0BDF"/>
    <w:multiLevelType w:val="hybridMultilevel"/>
    <w:tmpl w:val="80803EB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54107CE"/>
    <w:multiLevelType w:val="hybridMultilevel"/>
    <w:tmpl w:val="494C351A"/>
    <w:lvl w:ilvl="0">
      <w:start w:val="1"/>
      <w:numFmt w:val="lowerLetter"/>
      <w:lvlText w:val="%1)"/>
      <w:lvlJc w:val="left"/>
      <w:pPr>
        <w:ind w:left="1770" w:hanging="360"/>
      </w:pPr>
      <w:rPr>
        <w:rFonts w:hint="default"/>
      </w:rPr>
    </w:lvl>
    <w:lvl w:ilvl="1" w:tentative="1">
      <w:start w:val="1"/>
      <w:numFmt w:val="lowerLetter"/>
      <w:lvlText w:val="%2."/>
      <w:lvlJc w:val="left"/>
      <w:pPr>
        <w:ind w:left="2490" w:hanging="360"/>
      </w:pPr>
    </w:lvl>
    <w:lvl w:ilvl="2" w:tentative="1">
      <w:start w:val="1"/>
      <w:numFmt w:val="lowerRoman"/>
      <w:lvlText w:val="%3."/>
      <w:lvlJc w:val="right"/>
      <w:pPr>
        <w:ind w:left="3210" w:hanging="180"/>
      </w:pPr>
    </w:lvl>
    <w:lvl w:ilvl="3" w:tentative="1">
      <w:start w:val="1"/>
      <w:numFmt w:val="decimal"/>
      <w:lvlText w:val="%4."/>
      <w:lvlJc w:val="left"/>
      <w:pPr>
        <w:ind w:left="3930" w:hanging="360"/>
      </w:pPr>
    </w:lvl>
    <w:lvl w:ilvl="4" w:tentative="1">
      <w:start w:val="1"/>
      <w:numFmt w:val="lowerLetter"/>
      <w:lvlText w:val="%5."/>
      <w:lvlJc w:val="left"/>
      <w:pPr>
        <w:ind w:left="4650" w:hanging="360"/>
      </w:pPr>
    </w:lvl>
    <w:lvl w:ilvl="5" w:tentative="1">
      <w:start w:val="1"/>
      <w:numFmt w:val="lowerRoman"/>
      <w:lvlText w:val="%6."/>
      <w:lvlJc w:val="right"/>
      <w:pPr>
        <w:ind w:left="5370" w:hanging="180"/>
      </w:pPr>
    </w:lvl>
    <w:lvl w:ilvl="6" w:tentative="1">
      <w:start w:val="1"/>
      <w:numFmt w:val="decimal"/>
      <w:lvlText w:val="%7."/>
      <w:lvlJc w:val="left"/>
      <w:pPr>
        <w:ind w:left="6090" w:hanging="360"/>
      </w:pPr>
    </w:lvl>
    <w:lvl w:ilvl="7" w:tentative="1">
      <w:start w:val="1"/>
      <w:numFmt w:val="lowerLetter"/>
      <w:lvlText w:val="%8."/>
      <w:lvlJc w:val="left"/>
      <w:pPr>
        <w:ind w:left="6810" w:hanging="360"/>
      </w:pPr>
    </w:lvl>
    <w:lvl w:ilvl="8" w:tentative="1">
      <w:start w:val="1"/>
      <w:numFmt w:val="lowerRoman"/>
      <w:lvlText w:val="%9."/>
      <w:lvlJc w:val="right"/>
      <w:pPr>
        <w:ind w:left="7530" w:hanging="180"/>
      </w:pPr>
    </w:lvl>
  </w:abstractNum>
  <w:abstractNum w:abstractNumId="5">
    <w:nsid w:val="1F8C6794"/>
    <w:multiLevelType w:val="hybridMultilevel"/>
    <w:tmpl w:val="B896FFD4"/>
    <w:lvl w:ilvl="0">
      <w:start w:val="1"/>
      <w:numFmt w:val="bullet"/>
      <w:lvlText w:val=""/>
      <w:lvlJc w:val="left"/>
      <w:pPr>
        <w:ind w:left="1713" w:hanging="360"/>
      </w:pPr>
      <w:rPr>
        <w:rFonts w:ascii="Symbol" w:hAnsi="Symbol" w:hint="default"/>
      </w:rPr>
    </w:lvl>
    <w:lvl w:ilvl="1" w:tentative="1">
      <w:start w:val="1"/>
      <w:numFmt w:val="bullet"/>
      <w:lvlText w:val="o"/>
      <w:lvlJc w:val="left"/>
      <w:pPr>
        <w:ind w:left="2433" w:hanging="360"/>
      </w:pPr>
      <w:rPr>
        <w:rFonts w:ascii="Courier New" w:hAnsi="Courier New" w:cs="Courier New" w:hint="default"/>
      </w:rPr>
    </w:lvl>
    <w:lvl w:ilvl="2" w:tentative="1">
      <w:start w:val="1"/>
      <w:numFmt w:val="bullet"/>
      <w:lvlText w:val=""/>
      <w:lvlJc w:val="left"/>
      <w:pPr>
        <w:ind w:left="3153" w:hanging="360"/>
      </w:pPr>
      <w:rPr>
        <w:rFonts w:ascii="Wingdings" w:hAnsi="Wingdings" w:hint="default"/>
      </w:rPr>
    </w:lvl>
    <w:lvl w:ilvl="3" w:tentative="1">
      <w:start w:val="1"/>
      <w:numFmt w:val="bullet"/>
      <w:lvlText w:val=""/>
      <w:lvlJc w:val="left"/>
      <w:pPr>
        <w:ind w:left="3873" w:hanging="360"/>
      </w:pPr>
      <w:rPr>
        <w:rFonts w:ascii="Symbol" w:hAnsi="Symbol" w:hint="default"/>
      </w:rPr>
    </w:lvl>
    <w:lvl w:ilvl="4" w:tentative="1">
      <w:start w:val="1"/>
      <w:numFmt w:val="bullet"/>
      <w:lvlText w:val="o"/>
      <w:lvlJc w:val="left"/>
      <w:pPr>
        <w:ind w:left="4593" w:hanging="360"/>
      </w:pPr>
      <w:rPr>
        <w:rFonts w:ascii="Courier New" w:hAnsi="Courier New" w:cs="Courier New" w:hint="default"/>
      </w:rPr>
    </w:lvl>
    <w:lvl w:ilvl="5" w:tentative="1">
      <w:start w:val="1"/>
      <w:numFmt w:val="bullet"/>
      <w:lvlText w:val=""/>
      <w:lvlJc w:val="left"/>
      <w:pPr>
        <w:ind w:left="5313" w:hanging="360"/>
      </w:pPr>
      <w:rPr>
        <w:rFonts w:ascii="Wingdings" w:hAnsi="Wingdings" w:hint="default"/>
      </w:rPr>
    </w:lvl>
    <w:lvl w:ilvl="6" w:tentative="1">
      <w:start w:val="1"/>
      <w:numFmt w:val="bullet"/>
      <w:lvlText w:val=""/>
      <w:lvlJc w:val="left"/>
      <w:pPr>
        <w:ind w:left="6033" w:hanging="360"/>
      </w:pPr>
      <w:rPr>
        <w:rFonts w:ascii="Symbol" w:hAnsi="Symbol" w:hint="default"/>
      </w:rPr>
    </w:lvl>
    <w:lvl w:ilvl="7" w:tentative="1">
      <w:start w:val="1"/>
      <w:numFmt w:val="bullet"/>
      <w:lvlText w:val="o"/>
      <w:lvlJc w:val="left"/>
      <w:pPr>
        <w:ind w:left="6753" w:hanging="360"/>
      </w:pPr>
      <w:rPr>
        <w:rFonts w:ascii="Courier New" w:hAnsi="Courier New" w:cs="Courier New" w:hint="default"/>
      </w:rPr>
    </w:lvl>
    <w:lvl w:ilvl="8" w:tentative="1">
      <w:start w:val="1"/>
      <w:numFmt w:val="bullet"/>
      <w:lvlText w:val=""/>
      <w:lvlJc w:val="left"/>
      <w:pPr>
        <w:ind w:left="7473" w:hanging="360"/>
      </w:pPr>
      <w:rPr>
        <w:rFonts w:ascii="Wingdings" w:hAnsi="Wingdings" w:hint="default"/>
      </w:rPr>
    </w:lvl>
  </w:abstractNum>
  <w:abstractNum w:abstractNumId="6">
    <w:nsid w:val="21BB3F68"/>
    <w:multiLevelType w:val="hybridMultilevel"/>
    <w:tmpl w:val="0CC2EEE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35C0448"/>
    <w:multiLevelType w:val="hybridMultilevel"/>
    <w:tmpl w:val="093E0400"/>
    <w:lvl w:ilvl="0">
      <w:start w:val="400"/>
      <w:numFmt w:val="bullet"/>
      <w:lvlText w:val=""/>
      <w:lvlJc w:val="left"/>
      <w:pPr>
        <w:ind w:left="720" w:hanging="360"/>
      </w:pPr>
      <w:rPr>
        <w:rFonts w:ascii="Symbol" w:eastAsia="Calibri"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565185F"/>
    <w:multiLevelType w:val="hybridMultilevel"/>
    <w:tmpl w:val="9FFE597C"/>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9">
    <w:nsid w:val="35AA7F5F"/>
    <w:multiLevelType w:val="hybridMultilevel"/>
    <w:tmpl w:val="5630F5D8"/>
    <w:lvl w:ilvl="0">
      <w:start w:val="1"/>
      <w:numFmt w:val="decimalZero"/>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7C258B7"/>
    <w:multiLevelType w:val="hybridMultilevel"/>
    <w:tmpl w:val="51B638DE"/>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4F617018"/>
    <w:multiLevelType w:val="hybridMultilevel"/>
    <w:tmpl w:val="23E804FC"/>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2">
    <w:nsid w:val="53EC45D2"/>
    <w:multiLevelType w:val="hybridMultilevel"/>
    <w:tmpl w:val="56AA255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3">
    <w:nsid w:val="57360692"/>
    <w:multiLevelType w:val="hybridMultilevel"/>
    <w:tmpl w:val="0D08589C"/>
    <w:lvl w:ilvl="0">
      <w:start w:val="1"/>
      <w:numFmt w:val="upp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574707FB"/>
    <w:multiLevelType w:val="hybridMultilevel"/>
    <w:tmpl w:val="E99A745A"/>
    <w:lvl w:ilvl="0">
      <w:start w:val="9"/>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5311"/>
    <w:rsid w:val="00007736"/>
    <w:rsid w:val="0001573A"/>
    <w:rsid w:val="00023255"/>
    <w:rsid w:val="0002434D"/>
    <w:rsid w:val="0003367D"/>
    <w:rsid w:val="00042F75"/>
    <w:rsid w:val="00043A97"/>
    <w:rsid w:val="00046216"/>
    <w:rsid w:val="0005255B"/>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3FFF"/>
    <w:rsid w:val="00146F5E"/>
    <w:rsid w:val="0015363E"/>
    <w:rsid w:val="00170018"/>
    <w:rsid w:val="0017535B"/>
    <w:rsid w:val="001756A6"/>
    <w:rsid w:val="001769BC"/>
    <w:rsid w:val="00182662"/>
    <w:rsid w:val="001A423C"/>
    <w:rsid w:val="001A6312"/>
    <w:rsid w:val="001A7076"/>
    <w:rsid w:val="001B020D"/>
    <w:rsid w:val="001B506D"/>
    <w:rsid w:val="001C6943"/>
    <w:rsid w:val="001C76FF"/>
    <w:rsid w:val="001D6CD3"/>
    <w:rsid w:val="001E0E75"/>
    <w:rsid w:val="00206AE3"/>
    <w:rsid w:val="00211ADD"/>
    <w:rsid w:val="00216867"/>
    <w:rsid w:val="00230107"/>
    <w:rsid w:val="00241129"/>
    <w:rsid w:val="002458B6"/>
    <w:rsid w:val="00261321"/>
    <w:rsid w:val="00264139"/>
    <w:rsid w:val="002977F4"/>
    <w:rsid w:val="00297924"/>
    <w:rsid w:val="002A1420"/>
    <w:rsid w:val="002B20C9"/>
    <w:rsid w:val="002B7A4E"/>
    <w:rsid w:val="002C316A"/>
    <w:rsid w:val="002C5BFB"/>
    <w:rsid w:val="002C7729"/>
    <w:rsid w:val="002C7F73"/>
    <w:rsid w:val="002D583C"/>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6030D"/>
    <w:rsid w:val="00371173"/>
    <w:rsid w:val="003730D6"/>
    <w:rsid w:val="00383A63"/>
    <w:rsid w:val="00387302"/>
    <w:rsid w:val="0039413D"/>
    <w:rsid w:val="00395337"/>
    <w:rsid w:val="00396928"/>
    <w:rsid w:val="003A0F67"/>
    <w:rsid w:val="003A2050"/>
    <w:rsid w:val="003B01D6"/>
    <w:rsid w:val="003B3CAB"/>
    <w:rsid w:val="003B4A4C"/>
    <w:rsid w:val="003B4DFC"/>
    <w:rsid w:val="003B7B42"/>
    <w:rsid w:val="003C65A3"/>
    <w:rsid w:val="003D397E"/>
    <w:rsid w:val="003D4956"/>
    <w:rsid w:val="003D6F30"/>
    <w:rsid w:val="003F1125"/>
    <w:rsid w:val="00401CEF"/>
    <w:rsid w:val="0040381D"/>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30EF3"/>
    <w:rsid w:val="00554B2E"/>
    <w:rsid w:val="00571A0E"/>
    <w:rsid w:val="0057509D"/>
    <w:rsid w:val="00576657"/>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95B7B"/>
    <w:rsid w:val="00695C03"/>
    <w:rsid w:val="006A310A"/>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60F26"/>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6C34"/>
    <w:rsid w:val="00A97ECA"/>
    <w:rsid w:val="00AA2ABB"/>
    <w:rsid w:val="00AA72C9"/>
    <w:rsid w:val="00AB1105"/>
    <w:rsid w:val="00AB1213"/>
    <w:rsid w:val="00AC7361"/>
    <w:rsid w:val="00AD1136"/>
    <w:rsid w:val="00AD2F1F"/>
    <w:rsid w:val="00AE4586"/>
    <w:rsid w:val="00AE7FE6"/>
    <w:rsid w:val="00AF756F"/>
    <w:rsid w:val="00B010DE"/>
    <w:rsid w:val="00B05140"/>
    <w:rsid w:val="00B14D6B"/>
    <w:rsid w:val="00B2335B"/>
    <w:rsid w:val="00B25349"/>
    <w:rsid w:val="00B51A2E"/>
    <w:rsid w:val="00B52C93"/>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72D9A"/>
    <w:rsid w:val="00D749F0"/>
    <w:rsid w:val="00D85066"/>
    <w:rsid w:val="00D85494"/>
    <w:rsid w:val="00D87056"/>
    <w:rsid w:val="00D95DC1"/>
    <w:rsid w:val="00DA0205"/>
    <w:rsid w:val="00DB1F69"/>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A1BB4"/>
    <w:rsid w:val="00FA577F"/>
    <w:rsid w:val="00FB03B1"/>
    <w:rsid w:val="00FB24D7"/>
    <w:rsid w:val="00FC1D02"/>
    <w:rsid w:val="00FC62FC"/>
    <w:rsid w:val="00FC7BB3"/>
    <w:rsid w:val="00FD0C02"/>
    <w:rsid w:val="00FD2F7C"/>
    <w:rsid w:val="00FD4638"/>
    <w:rsid w:val="00FD480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5BFB"/>
    <w:pPr>
      <w:spacing w:line="256" w:lineRule="auto"/>
    </w:pPr>
  </w:style>
  <w:style w:type="paragraph" w:styleId="Heading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1Char">
    <w:name w:val="Título 1 Char"/>
    <w:aliases w:val="título 1 Char"/>
    <w:basedOn w:val="DefaultParagraphFont"/>
    <w:link w:val="Heading1"/>
    <w:rsid w:val="00F55241"/>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F55241"/>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F55241"/>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F55241"/>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F55241"/>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F55241"/>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F55241"/>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F55241"/>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F55241"/>
    <w:rPr>
      <w:rFonts w:ascii="Arial" w:eastAsia="Calibri" w:hAnsi="Arial" w:cs="Times New Roman"/>
      <w:b/>
      <w:noProof/>
      <w:sz w:val="24"/>
      <w:szCs w:val="20"/>
      <w:lang w:eastAsia="pt-BR"/>
    </w:rPr>
  </w:style>
  <w:style w:type="paragraph" w:styleId="ListParagraph">
    <w:name w:val="List Paragraph"/>
    <w:basedOn w:val="Normal"/>
    <w:uiPriority w:val="34"/>
    <w:qFormat/>
    <w:rsid w:val="003A0F67"/>
    <w:pPr>
      <w:spacing w:line="259" w:lineRule="auto"/>
      <w:ind w:left="720"/>
      <w:contextualSpacing/>
    </w:pPr>
  </w:style>
  <w:style w:type="paragraph" w:styleId="NoSpacing">
    <w:name w:val="No Spacing"/>
    <w:uiPriority w:val="1"/>
    <w:qFormat/>
    <w:rsid w:val="0066522D"/>
    <w:pPr>
      <w:spacing w:after="0" w:line="240" w:lineRule="auto"/>
    </w:pPr>
  </w:style>
  <w:style w:type="paragraph" w:styleId="BalloonText">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9972F3"/>
    <w:rPr>
      <w:rFonts w:ascii="Segoe UI" w:hAnsi="Segoe UI" w:cs="Segoe UI"/>
      <w:sz w:val="18"/>
      <w:szCs w:val="18"/>
    </w:rPr>
  </w:style>
  <w:style w:type="table" w:styleId="TableGrid">
    <w:name w:val="Table Grid"/>
    <w:basedOn w:val="Table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DefaultParagraphFont"/>
    <w:rsid w:val="00DF6BE5"/>
  </w:style>
  <w:style w:type="character" w:styleId="Strong">
    <w:name w:val="Strong"/>
    <w:basedOn w:val="DefaultParagraphFont"/>
    <w:uiPriority w:val="22"/>
    <w:qFormat/>
    <w:rsid w:val="000D0E9B"/>
    <w:rPr>
      <w:b/>
      <w:bCs/>
    </w:rPr>
  </w:style>
  <w:style w:type="paragraph" w:styleId="Quote">
    <w:name w:val="Quote"/>
    <w:basedOn w:val="Normal"/>
    <w:next w:val="Normal"/>
    <w:link w:val="CitaoChar"/>
    <w:uiPriority w:val="29"/>
    <w:qFormat/>
    <w:rsid w:val="00F55241"/>
    <w:pPr>
      <w:spacing w:before="200" w:line="259" w:lineRule="auto"/>
      <w:ind w:left="864" w:right="864"/>
      <w:jc w:val="center"/>
    </w:pPr>
    <w:rPr>
      <w:i/>
      <w:iCs/>
      <w:color w:val="404040" w:themeColor="text1" w:themeTint="BF"/>
    </w:rPr>
  </w:style>
  <w:style w:type="character" w:customStyle="1" w:styleId="CitaoChar">
    <w:name w:val="Citação Char"/>
    <w:basedOn w:val="DefaultParagraphFont"/>
    <w:link w:val="Quote"/>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DA0205"/>
    <w:rPr>
      <w:color w:val="0563C1" w:themeColor="hyperlink"/>
      <w:u w:val="single"/>
    </w:rPr>
  </w:style>
  <w:style w:type="character" w:customStyle="1" w:styleId="MenoPendente1">
    <w:name w:val="Menção Pendente1"/>
    <w:basedOn w:val="DefaultParagraphFont"/>
    <w:uiPriority w:val="99"/>
    <w:semiHidden/>
    <w:unhideWhenUsed/>
    <w:rsid w:val="00DA0205"/>
    <w:rPr>
      <w:color w:val="605E5C"/>
      <w:shd w:val="clear" w:color="auto" w:fill="E1DFDD"/>
    </w:rPr>
  </w:style>
  <w:style w:type="table" w:styleId="PlainTable2">
    <w:name w:val="Plain Table 2"/>
    <w:basedOn w:val="Table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211ADD"/>
  </w:style>
  <w:style w:type="paragraph" w:styleId="Footer">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DefaultParagraphFont"/>
    <w:link w:val="Footer"/>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hyperlink" Target="http://legislacao.planalto.gov.br/legisla/legislacao.nsf/Viw_Identificacao/lei%2013.146-2015?OpenDocument" TargetMode="External" /><Relationship Id="rId6" Type="http://schemas.openxmlformats.org/officeDocument/2006/relationships/image" Target="media/image2.jpe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3.jpeg" /><Relationship Id="rId2" Type="http://schemas.openxmlformats.org/officeDocument/2006/relationships/image" Target="media/image4.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1335</Words>
  <Characters>7210</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Rudinei Lobo</cp:lastModifiedBy>
  <cp:revision>3</cp:revision>
  <cp:lastPrinted>2020-06-08T15:10:00Z</cp:lastPrinted>
  <dcterms:created xsi:type="dcterms:W3CDTF">2021-02-16T13:01:00Z</dcterms:created>
  <dcterms:modified xsi:type="dcterms:W3CDTF">2021-05-04T15:37:00Z</dcterms:modified>
</cp:coreProperties>
</file>