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42AF8" w:rsidP="00BF4DC1" w14:paraId="387E528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42AF8">
        <w:rPr>
          <w:rFonts w:ascii="Tahoma" w:hAnsi="Tahoma" w:cs="Tahoma"/>
          <w:b/>
          <w:sz w:val="24"/>
          <w:szCs w:val="24"/>
        </w:rPr>
        <w:t xml:space="preserve">Serviço de tapa-buraco na Alameda dos Salgueiros, esquina com a Alameda dos Cedros – Jardim </w:t>
      </w:r>
      <w:r w:rsidRPr="00942AF8">
        <w:rPr>
          <w:rFonts w:ascii="Tahoma" w:hAnsi="Tahoma" w:cs="Tahoma"/>
          <w:b/>
          <w:sz w:val="24"/>
          <w:szCs w:val="24"/>
        </w:rPr>
        <w:t>Picerno</w:t>
      </w:r>
      <w:r w:rsidRPr="00942AF8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3368046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013DD6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local.</w:t>
      </w:r>
    </w:p>
    <w:p w:rsidR="00BF4DC1" w:rsidP="00BF4DC1" w14:paraId="59A7D085" w14:textId="511F04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D0EE7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261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2025-10-20T15:59:00Z</dcterms:created>
  <dcterms:modified xsi:type="dcterms:W3CDTF">2025-10-20T15:59:00Z</dcterms:modified>
</cp:coreProperties>
</file>