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47BC8" w:rsidP="00BF4DC1" w14:paraId="0DBCAD0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47BC8">
        <w:rPr>
          <w:rFonts w:ascii="Tahoma" w:hAnsi="Tahoma" w:cs="Tahoma"/>
          <w:b/>
          <w:sz w:val="24"/>
          <w:szCs w:val="24"/>
        </w:rPr>
        <w:t xml:space="preserve">Retirada de móveis na Rua Itumbiara, nº 167 – Jardim </w:t>
      </w:r>
      <w:r w:rsidRPr="00B47BC8">
        <w:rPr>
          <w:rFonts w:ascii="Tahoma" w:hAnsi="Tahoma" w:cs="Tahoma"/>
          <w:b/>
          <w:sz w:val="24"/>
          <w:szCs w:val="24"/>
        </w:rPr>
        <w:t>Dall'Orto</w:t>
      </w:r>
      <w:r w:rsidRPr="00B47BC8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3074D9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47BC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descarte irregular de móveis no calçamento público. Essa situação compromete a limpeza urbana, dificulta a circulação de pedestres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0F9B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2025-10-20T15:57:00Z</dcterms:created>
  <dcterms:modified xsi:type="dcterms:W3CDTF">2025-10-20T15:57:00Z</dcterms:modified>
</cp:coreProperties>
</file>